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Summary Report: Predictive Insights for Collections Strategy</w:t>
      </w:r>
    </w:p>
    <w:p>
      <w:pPr>
        <w:pStyle w:val="Heading1"/>
      </w:pPr>
      <w:r>
        <w:t>1. Summary of Predictive Insights</w:t>
      </w:r>
    </w:p>
    <w:p>
      <w:r>
        <w:t>Top 3 Risk Factors</w:t>
        <w:br/>
        <w:br/>
        <w:t>• High Credit Utilization: Customers with higher credit utilization showed a greater likelihood of delinquency. During EDA, delinquent customers had an average credit utilization of 50.69% compared to 48.85% for non-delinquent customers.</w:t>
        <w:br/>
        <w:br/>
        <w:t>• Higher Debt-to-Income Ratio: Customers with higher debt obligations relative to income demonstrated increased delinquency risk. Delinquent customers had an average debt-to-income ratio of 30.63% compared to 29.74% for non-delinquent customers.</w:t>
        <w:br/>
        <w:br/>
        <w:t>• Missed Payments: Previous missed payment behavior remains one of the strongest indicators of future repayment difficulties.</w:t>
        <w:br/>
      </w:r>
    </w:p>
    <w:p>
      <w:r>
        <w:t>Key Insights Summary Table included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 Insight</w:t>
            </w:r>
          </w:p>
        </w:tc>
        <w:tc>
          <w:tcPr>
            <w:tcW w:type="dxa" w:w="2160"/>
          </w:tcPr>
          <w:p>
            <w:r>
              <w:t>Customer Segment</w:t>
            </w:r>
          </w:p>
        </w:tc>
        <w:tc>
          <w:tcPr>
            <w:tcW w:type="dxa" w:w="2160"/>
          </w:tcPr>
          <w:p>
            <w:r>
              <w:t>Influencing Variables</w:t>
            </w:r>
          </w:p>
        </w:tc>
        <w:tc>
          <w:tcPr>
            <w:tcW w:type="dxa" w:w="2160"/>
          </w:tcPr>
          <w:p>
            <w:r>
              <w:t>Potential Impact</w:t>
            </w:r>
          </w:p>
        </w:tc>
      </w:tr>
      <w:tr>
        <w:tc>
          <w:tcPr>
            <w:tcW w:type="dxa" w:w="2160"/>
          </w:tcPr>
          <w:p>
            <w:r>
              <w:t>Higher credit utilization is associated with increased delinquency risk</w:t>
            </w:r>
          </w:p>
        </w:tc>
        <w:tc>
          <w:tcPr>
            <w:tcW w:type="dxa" w:w="2160"/>
          </w:tcPr>
          <w:p>
            <w:r>
              <w:t>Customers using a large percentage of available credit</w:t>
            </w:r>
          </w:p>
        </w:tc>
        <w:tc>
          <w:tcPr>
            <w:tcW w:type="dxa" w:w="2160"/>
          </w:tcPr>
          <w:p>
            <w:r>
              <w:t>Credit_Utilization, Income</w:t>
            </w:r>
          </w:p>
        </w:tc>
        <w:tc>
          <w:tcPr>
            <w:tcW w:type="dxa" w:w="2160"/>
          </w:tcPr>
          <w:p>
            <w:r>
              <w:t>Early intervention can reduce future payment defaults</w:t>
            </w:r>
          </w:p>
        </w:tc>
      </w:tr>
      <w:tr>
        <w:tc>
          <w:tcPr>
            <w:tcW w:type="dxa" w:w="2160"/>
          </w:tcPr>
          <w:p>
            <w:r>
              <w:t>Higher debt-to-income ratios may indicate financial stress</w:t>
            </w:r>
          </w:p>
        </w:tc>
        <w:tc>
          <w:tcPr>
            <w:tcW w:type="dxa" w:w="2160"/>
          </w:tcPr>
          <w:p>
            <w:r>
              <w:t>Customers carrying higher debt relative to income</w:t>
            </w:r>
          </w:p>
        </w:tc>
        <w:tc>
          <w:tcPr>
            <w:tcW w:type="dxa" w:w="2160"/>
          </w:tcPr>
          <w:p>
            <w:r>
              <w:t>Debt_to_Income_Ratio, Income</w:t>
            </w:r>
          </w:p>
        </w:tc>
        <w:tc>
          <w:tcPr>
            <w:tcW w:type="dxa" w:w="2160"/>
          </w:tcPr>
          <w:p>
            <w:r>
              <w:t>Collections teams can proactively engage at-risk customers</w:t>
            </w:r>
          </w:p>
        </w:tc>
      </w:tr>
      <w:tr>
        <w:tc>
          <w:tcPr>
            <w:tcW w:type="dxa" w:w="2160"/>
          </w:tcPr>
          <w:p>
            <w:r>
              <w:t>Historical payment behavior remains an important risk signal</w:t>
            </w:r>
          </w:p>
        </w:tc>
        <w:tc>
          <w:tcPr>
            <w:tcW w:type="dxa" w:w="2160"/>
          </w:tcPr>
          <w:p>
            <w:r>
              <w:t>Customers with missed payment history</w:t>
            </w:r>
          </w:p>
        </w:tc>
        <w:tc>
          <w:tcPr>
            <w:tcW w:type="dxa" w:w="2160"/>
          </w:tcPr>
          <w:p>
            <w:r>
              <w:t>Missed_Payments, Credit_Score</w:t>
            </w:r>
          </w:p>
        </w:tc>
        <w:tc>
          <w:tcPr>
            <w:tcW w:type="dxa" w:w="2160"/>
          </w:tcPr>
          <w:p>
            <w:r>
              <w:t>Improved prioritization of collection activities</w:t>
            </w:r>
          </w:p>
        </w:tc>
      </w:tr>
    </w:tbl>
    <w:p>
      <w:r>
        <w:t>The Logistic Regression model identified Credit Utilization, Debt-to-Income Ratio, Missed Payments, Credit Score, and Income as the most important variables for predicting delinquency risk.</w:t>
      </w:r>
    </w:p>
    <w:p>
      <w:pPr>
        <w:pStyle w:val="Heading1"/>
      </w:pPr>
      <w:r>
        <w:t>2. Recommendation Framework</w:t>
      </w:r>
    </w:p>
    <w:p>
      <w:r>
        <w:t>Restated Insight: Customers with higher credit utilization levels appear to have a greater likelihood of becoming delinquent.</w:t>
      </w:r>
    </w:p>
    <w:p>
      <w:r>
        <w:t>Proposed Recommendation: Implement a proactive outreach program targeting customers whose credit utilization exceeds 50%.</w:t>
      </w:r>
    </w:p>
    <w:p>
      <w:r>
        <w:t>Specific: Identify customers with credit utilization above 50% and enroll them in a targeted outreach program.</w:t>
      </w:r>
    </w:p>
    <w:p>
      <w:r>
        <w:t>Measurable: Reduce delinquency rates within this customer segment by 10% over the next six months.</w:t>
      </w:r>
    </w:p>
    <w:p>
      <w:r>
        <w:t>Actionable: Use the predictive model to generate monthly high-risk customer lists and initiate outreach.</w:t>
      </w:r>
    </w:p>
    <w:p>
      <w:r>
        <w:t>Relevant: Reducing delinquency directly supports Geldium's collections strategy and improves portfolio performance.</w:t>
      </w:r>
    </w:p>
    <w:p>
      <w:r>
        <w:t>Time-bound: Launch the program within one month and evaluate results after six months.</w:t>
      </w:r>
    </w:p>
    <w:p>
      <w:r>
        <w:t>Justification and Business Rationale: Early intervention can improve customer outcomes and reduce collection costs.</w:t>
      </w:r>
    </w:p>
    <w:p>
      <w:pPr>
        <w:pStyle w:val="Heading1"/>
      </w:pPr>
      <w:r>
        <w:t>3. Ethical and Responsible AI Considerations</w:t>
      </w:r>
    </w:p>
    <w:p>
      <w:r>
        <w:t>Fairness Risk 1: The model may perform differently across customer groups such as employment categories or geographic locations.</w:t>
        <w:br/>
        <w:t>Mitigation: Regularly evaluate model performance across customer segments.</w:t>
        <w:br/>
        <w:br/>
        <w:t>Fairness Risk 2: Historical lending and payment data may contain patterns that unintentionally introduce bias into model predictions.</w:t>
        <w:br/>
        <w:t>Mitigation: Conduct periodic fairness audits and retrain the model when necessary.</w:t>
        <w:br/>
        <w:br/>
        <w:t>Explainability: The Logistic Regression model is highly interpretable and allows stakeholders to understand which variables influence risk predictions.</w:t>
        <w:br/>
        <w:br/>
        <w:t>Responsible AI Principles:</w:t>
        <w:br/>
        <w:t>• Maintain transparency in model decisions.</w:t>
        <w:br/>
        <w:t>• Protect customer privacy.</w:t>
        <w:br/>
        <w:t>• Avoid discriminatory outcomes.</w:t>
        <w:br/>
        <w:t>• Use predictions as decision-support tools.</w:t>
        <w:br/>
        <w:t>• Ensure human oversight for important customer actions.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