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C794" w14:textId="77777777" w:rsidR="00982051" w:rsidRDefault="00982051">
      <w:pPr>
        <w:spacing w:before="60" w:after="60"/>
      </w:pPr>
    </w:p>
    <w:p w14:paraId="123C4066" w14:textId="77777777" w:rsidR="00982051" w:rsidRDefault="00982051">
      <w:pPr>
        <w:spacing w:before="60" w:after="60"/>
      </w:pPr>
    </w:p>
    <w:p w14:paraId="2C7F5568" w14:textId="77777777" w:rsidR="00982051" w:rsidRDefault="00982051">
      <w:pPr>
        <w:spacing w:before="60" w:after="60"/>
      </w:pPr>
    </w:p>
    <w:p w14:paraId="2BFC5425" w14:textId="77777777" w:rsidR="00982051" w:rsidRDefault="00000000">
      <w:pPr>
        <w:jc w:val="center"/>
      </w:pPr>
      <w:r>
        <w:rPr>
          <w:rFonts w:ascii="Arial" w:eastAsia="Arial" w:hAnsi="Arial" w:cs="Arial"/>
          <w:color w:val="595959"/>
          <w:sz w:val="28"/>
          <w:szCs w:val="28"/>
        </w:rPr>
        <w:t>PROFIT ANALYSIS OF</w:t>
      </w:r>
    </w:p>
    <w:p w14:paraId="0A34CF5C" w14:textId="77777777" w:rsidR="00982051" w:rsidRDefault="00000000">
      <w:pPr>
        <w:jc w:val="center"/>
      </w:pPr>
      <w:r>
        <w:rPr>
          <w:rFonts w:ascii="Arial" w:eastAsia="Arial" w:hAnsi="Arial" w:cs="Arial"/>
          <w:b/>
          <w:bCs/>
          <w:color w:val="1F4E79"/>
          <w:sz w:val="52"/>
          <w:szCs w:val="52"/>
        </w:rPr>
        <w:t>TATA CONSULTANCY SERVICES</w:t>
      </w:r>
    </w:p>
    <w:p w14:paraId="2703AD94" w14:textId="77777777" w:rsidR="00982051" w:rsidRDefault="00000000">
      <w:pPr>
        <w:pBdr>
          <w:bottom w:val="single" w:sz="8" w:space="1" w:color="2E75B6"/>
        </w:pBdr>
        <w:spacing w:before="40" w:after="40"/>
        <w:jc w:val="center"/>
      </w:pPr>
      <w:r>
        <w:rPr>
          <w:rFonts w:ascii="Arial" w:eastAsia="Arial" w:hAnsi="Arial" w:cs="Arial"/>
          <w:b/>
          <w:bCs/>
          <w:color w:val="2E75B6"/>
          <w:sz w:val="36"/>
          <w:szCs w:val="36"/>
        </w:rPr>
        <w:t>(TCS)</w:t>
      </w:r>
    </w:p>
    <w:p w14:paraId="5326C03C" w14:textId="77777777" w:rsidR="00982051" w:rsidRDefault="00982051">
      <w:pPr>
        <w:spacing w:before="60" w:after="60"/>
      </w:pPr>
    </w:p>
    <w:p w14:paraId="10A9A3DA" w14:textId="77777777" w:rsidR="00982051" w:rsidRDefault="00982051">
      <w:pPr>
        <w:spacing w:before="60" w:after="60"/>
      </w:pPr>
    </w:p>
    <w:p w14:paraId="56FFA4CE" w14:textId="77777777" w:rsidR="00982051" w:rsidRDefault="00000000">
      <w:pPr>
        <w:jc w:val="center"/>
      </w:pPr>
      <w:r>
        <w:rPr>
          <w:rFonts w:ascii="Arial" w:eastAsia="Arial" w:hAnsi="Arial" w:cs="Arial"/>
          <w:i/>
          <w:iCs/>
          <w:color w:val="595959"/>
          <w:sz w:val="26"/>
          <w:szCs w:val="26"/>
        </w:rPr>
        <w:t>A Financial Performance Study (FY 2019-20 to FY 2023-24)</w:t>
      </w:r>
    </w:p>
    <w:p w14:paraId="28625F09" w14:textId="77777777" w:rsidR="00982051" w:rsidRDefault="00982051">
      <w:pPr>
        <w:spacing w:before="60" w:after="60"/>
      </w:pPr>
    </w:p>
    <w:p w14:paraId="60E49AD5" w14:textId="77777777" w:rsidR="00982051" w:rsidRDefault="00982051">
      <w:pPr>
        <w:spacing w:before="60" w:after="60"/>
      </w:pPr>
    </w:p>
    <w:p w14:paraId="3D14D0EB" w14:textId="77777777" w:rsidR="00982051" w:rsidRDefault="00982051">
      <w:pPr>
        <w:spacing w:before="60" w:after="60"/>
      </w:pPr>
    </w:p>
    <w:p w14:paraId="629FA4A8" w14:textId="77777777" w:rsidR="00982051" w:rsidRDefault="00982051">
      <w:pPr>
        <w:spacing w:before="60" w:after="60"/>
      </w:pPr>
    </w:p>
    <w:p w14:paraId="217CA058" w14:textId="4A263172" w:rsidR="00982051" w:rsidRDefault="00000000">
      <w:pPr>
        <w:spacing w:before="60" w:after="20"/>
        <w:jc w:val="center"/>
      </w:pPr>
      <w:r>
        <w:rPr>
          <w:rFonts w:ascii="Arial" w:eastAsia="Arial" w:hAnsi="Arial" w:cs="Arial"/>
          <w:b/>
          <w:bCs/>
          <w:color w:val="1F4E79"/>
          <w:sz w:val="22"/>
          <w:szCs w:val="22"/>
        </w:rPr>
        <w:t xml:space="preserve">Submitted By:  </w:t>
      </w:r>
      <w:r w:rsidR="00E1622B">
        <w:rPr>
          <w:rFonts w:ascii="Arial" w:eastAsia="Arial" w:hAnsi="Arial" w:cs="Arial"/>
          <w:color w:val="000000"/>
          <w:sz w:val="22"/>
          <w:szCs w:val="22"/>
        </w:rPr>
        <w:t>SIDDHARTH SINGH</w:t>
      </w:r>
    </w:p>
    <w:p w14:paraId="4520053E" w14:textId="77777777" w:rsidR="00982051" w:rsidRDefault="00000000">
      <w:pPr>
        <w:spacing w:before="60" w:after="20"/>
        <w:jc w:val="center"/>
      </w:pPr>
      <w:r>
        <w:rPr>
          <w:rFonts w:ascii="Arial" w:eastAsia="Arial" w:hAnsi="Arial" w:cs="Arial"/>
          <w:b/>
          <w:bCs/>
          <w:color w:val="1F4E79"/>
          <w:sz w:val="22"/>
          <w:szCs w:val="22"/>
        </w:rPr>
        <w:t xml:space="preserve">Program:  </w:t>
      </w:r>
      <w:r>
        <w:rPr>
          <w:rFonts w:ascii="Arial" w:eastAsia="Arial" w:hAnsi="Arial" w:cs="Arial"/>
          <w:color w:val="000000"/>
          <w:sz w:val="22"/>
          <w:szCs w:val="22"/>
        </w:rPr>
        <w:t>B.Com (Hons), 2nd Semester</w:t>
      </w:r>
    </w:p>
    <w:p w14:paraId="7875FAFB" w14:textId="77777777" w:rsidR="00982051" w:rsidRDefault="00000000">
      <w:pPr>
        <w:spacing w:before="60" w:after="20"/>
        <w:jc w:val="center"/>
      </w:pPr>
      <w:r>
        <w:rPr>
          <w:rFonts w:ascii="Arial" w:eastAsia="Arial" w:hAnsi="Arial" w:cs="Arial"/>
          <w:b/>
          <w:bCs/>
          <w:color w:val="1F4E79"/>
          <w:sz w:val="22"/>
          <w:szCs w:val="22"/>
        </w:rPr>
        <w:t xml:space="preserve">University:  </w:t>
      </w:r>
      <w:r>
        <w:rPr>
          <w:rFonts w:ascii="Arial" w:eastAsia="Arial" w:hAnsi="Arial" w:cs="Arial"/>
          <w:color w:val="000000"/>
          <w:sz w:val="22"/>
          <w:szCs w:val="22"/>
        </w:rPr>
        <w:t>CGC University</w:t>
      </w:r>
    </w:p>
    <w:p w14:paraId="612A58C2" w14:textId="77777777" w:rsidR="00982051" w:rsidRDefault="00000000">
      <w:pPr>
        <w:spacing w:before="60" w:after="20"/>
        <w:jc w:val="center"/>
      </w:pPr>
      <w:r>
        <w:rPr>
          <w:rFonts w:ascii="Arial" w:eastAsia="Arial" w:hAnsi="Arial" w:cs="Arial"/>
          <w:b/>
          <w:bCs/>
          <w:color w:val="1F4E79"/>
          <w:sz w:val="22"/>
          <w:szCs w:val="22"/>
        </w:rPr>
        <w:t xml:space="preserve">Subject:  </w:t>
      </w:r>
      <w:r>
        <w:rPr>
          <w:rFonts w:ascii="Arial" w:eastAsia="Arial" w:hAnsi="Arial" w:cs="Arial"/>
          <w:color w:val="000000"/>
          <w:sz w:val="22"/>
          <w:szCs w:val="22"/>
        </w:rPr>
        <w:t>Financial Analysis / Business Studies</w:t>
      </w:r>
    </w:p>
    <w:p w14:paraId="309BE1C5" w14:textId="001B0D6B" w:rsidR="00982051" w:rsidRDefault="00982051">
      <w:pPr>
        <w:spacing w:before="60" w:after="20"/>
        <w:jc w:val="center"/>
      </w:pPr>
    </w:p>
    <w:p w14:paraId="5FDF8D30" w14:textId="77777777" w:rsidR="00982051" w:rsidRDefault="00982051">
      <w:pPr>
        <w:spacing w:before="60" w:after="60"/>
      </w:pPr>
    </w:p>
    <w:p w14:paraId="1E38524A" w14:textId="77777777" w:rsidR="00982051" w:rsidRDefault="00982051">
      <w:pPr>
        <w:spacing w:before="60" w:after="60"/>
      </w:pPr>
    </w:p>
    <w:p w14:paraId="71B9B147" w14:textId="77777777" w:rsidR="00982051" w:rsidRDefault="00982051">
      <w:pPr>
        <w:spacing w:before="60" w:after="60"/>
      </w:pPr>
    </w:p>
    <w:p w14:paraId="7BD2ED2C" w14:textId="77777777" w:rsidR="00982051" w:rsidRDefault="00982051">
      <w:pPr>
        <w:spacing w:before="60" w:after="60"/>
      </w:pPr>
    </w:p>
    <w:p w14:paraId="65E19EE7" w14:textId="7BA9CD8E" w:rsidR="00982051" w:rsidRDefault="00000000">
      <w:pPr>
        <w:jc w:val="center"/>
      </w:pPr>
      <w:r>
        <w:rPr>
          <w:rFonts w:ascii="Arial" w:eastAsia="Arial" w:hAnsi="Arial" w:cs="Arial"/>
          <w:i/>
          <w:iCs/>
          <w:color w:val="999999"/>
        </w:rPr>
        <w:t>Academic Year 20</w:t>
      </w:r>
      <w:r w:rsidR="00E1622B">
        <w:rPr>
          <w:rFonts w:ascii="Arial" w:eastAsia="Arial" w:hAnsi="Arial" w:cs="Arial"/>
          <w:i/>
          <w:iCs/>
          <w:color w:val="999999"/>
        </w:rPr>
        <w:t>25</w:t>
      </w:r>
      <w:r>
        <w:rPr>
          <w:rFonts w:ascii="Arial" w:eastAsia="Arial" w:hAnsi="Arial" w:cs="Arial"/>
          <w:i/>
          <w:iCs/>
          <w:color w:val="999999"/>
        </w:rPr>
        <w:t>-</w:t>
      </w:r>
      <w:r w:rsidR="00E1622B">
        <w:rPr>
          <w:rFonts w:ascii="Arial" w:eastAsia="Arial" w:hAnsi="Arial" w:cs="Arial"/>
          <w:i/>
          <w:iCs/>
          <w:color w:val="999999"/>
        </w:rPr>
        <w:t>26</w:t>
      </w:r>
    </w:p>
    <w:p w14:paraId="1B99EFBE" w14:textId="77777777" w:rsidR="00982051" w:rsidRDefault="00000000">
      <w:r>
        <w:br w:type="page"/>
      </w:r>
    </w:p>
    <w:p w14:paraId="7B8F0E1B"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INDEX</w:t>
      </w:r>
    </w:p>
    <w:p w14:paraId="3A1D29F4" w14:textId="77777777" w:rsidR="00982051" w:rsidRDefault="00982051">
      <w:pPr>
        <w:spacing w:before="60" w:after="60"/>
      </w:pPr>
    </w:p>
    <w:p w14:paraId="0BDF5122" w14:textId="77777777" w:rsidR="00982051" w:rsidRDefault="00000000">
      <w:pPr>
        <w:spacing w:before="60" w:after="60"/>
      </w:pPr>
      <w:r>
        <w:rPr>
          <w:rFonts w:ascii="Arial" w:eastAsia="Arial" w:hAnsi="Arial" w:cs="Arial"/>
          <w:sz w:val="22"/>
          <w:szCs w:val="22"/>
        </w:rPr>
        <w:t>1.  Introduction</w:t>
      </w:r>
      <w:r>
        <w:rPr>
          <w:rFonts w:ascii="Arial" w:eastAsia="Arial" w:hAnsi="Arial" w:cs="Arial"/>
          <w:color w:val="888888"/>
          <w:sz w:val="22"/>
          <w:szCs w:val="22"/>
        </w:rPr>
        <w:t xml:space="preserve">  .......  Page 3</w:t>
      </w:r>
    </w:p>
    <w:p w14:paraId="11383083" w14:textId="77777777" w:rsidR="00982051" w:rsidRDefault="00000000">
      <w:pPr>
        <w:spacing w:before="60" w:after="60"/>
      </w:pPr>
      <w:r>
        <w:rPr>
          <w:rFonts w:ascii="Arial" w:eastAsia="Arial" w:hAnsi="Arial" w:cs="Arial"/>
          <w:sz w:val="22"/>
          <w:szCs w:val="22"/>
        </w:rPr>
        <w:t>2.  Company Overview</w:t>
      </w:r>
      <w:r>
        <w:rPr>
          <w:rFonts w:ascii="Arial" w:eastAsia="Arial" w:hAnsi="Arial" w:cs="Arial"/>
          <w:color w:val="888888"/>
          <w:sz w:val="22"/>
          <w:szCs w:val="22"/>
        </w:rPr>
        <w:t xml:space="preserve">  .......  Page 3</w:t>
      </w:r>
    </w:p>
    <w:p w14:paraId="33A9DD0B" w14:textId="77777777" w:rsidR="00982051" w:rsidRDefault="00000000">
      <w:pPr>
        <w:spacing w:before="60" w:after="60"/>
      </w:pPr>
      <w:r>
        <w:rPr>
          <w:rFonts w:ascii="Arial" w:eastAsia="Arial" w:hAnsi="Arial" w:cs="Arial"/>
          <w:sz w:val="22"/>
          <w:szCs w:val="22"/>
        </w:rPr>
        <w:t>3.  Objectives of Study</w:t>
      </w:r>
      <w:r>
        <w:rPr>
          <w:rFonts w:ascii="Arial" w:eastAsia="Arial" w:hAnsi="Arial" w:cs="Arial"/>
          <w:color w:val="888888"/>
          <w:sz w:val="22"/>
          <w:szCs w:val="22"/>
        </w:rPr>
        <w:t xml:space="preserve">  .......  Page 4</w:t>
      </w:r>
    </w:p>
    <w:p w14:paraId="1691C577" w14:textId="77777777" w:rsidR="00982051" w:rsidRDefault="00000000">
      <w:pPr>
        <w:spacing w:before="60" w:after="60"/>
      </w:pPr>
      <w:r>
        <w:rPr>
          <w:rFonts w:ascii="Arial" w:eastAsia="Arial" w:hAnsi="Arial" w:cs="Arial"/>
          <w:sz w:val="22"/>
          <w:szCs w:val="22"/>
        </w:rPr>
        <w:t>4.  Research Methodology</w:t>
      </w:r>
      <w:r>
        <w:rPr>
          <w:rFonts w:ascii="Arial" w:eastAsia="Arial" w:hAnsi="Arial" w:cs="Arial"/>
          <w:color w:val="888888"/>
          <w:sz w:val="22"/>
          <w:szCs w:val="22"/>
        </w:rPr>
        <w:t xml:space="preserve">  .......  Page 4</w:t>
      </w:r>
    </w:p>
    <w:p w14:paraId="7151313B" w14:textId="77777777" w:rsidR="00982051" w:rsidRDefault="00000000">
      <w:pPr>
        <w:spacing w:before="60" w:after="60"/>
      </w:pPr>
      <w:r>
        <w:rPr>
          <w:rFonts w:ascii="Arial" w:eastAsia="Arial" w:hAnsi="Arial" w:cs="Arial"/>
          <w:sz w:val="22"/>
          <w:szCs w:val="22"/>
        </w:rPr>
        <w:t>5.  Financial Data – Last 5 Years</w:t>
      </w:r>
      <w:r>
        <w:rPr>
          <w:rFonts w:ascii="Arial" w:eastAsia="Arial" w:hAnsi="Arial" w:cs="Arial"/>
          <w:color w:val="888888"/>
          <w:sz w:val="22"/>
          <w:szCs w:val="22"/>
        </w:rPr>
        <w:t xml:space="preserve">  .......  Page 5</w:t>
      </w:r>
    </w:p>
    <w:p w14:paraId="52DA9DD1" w14:textId="77777777" w:rsidR="00982051" w:rsidRDefault="00000000">
      <w:pPr>
        <w:spacing w:before="60" w:after="60"/>
      </w:pPr>
      <w:r>
        <w:rPr>
          <w:rFonts w:ascii="Arial" w:eastAsia="Arial" w:hAnsi="Arial" w:cs="Arial"/>
          <w:sz w:val="22"/>
          <w:szCs w:val="22"/>
        </w:rPr>
        <w:t>6.  Ratio Analysis</w:t>
      </w:r>
      <w:r>
        <w:rPr>
          <w:rFonts w:ascii="Arial" w:eastAsia="Arial" w:hAnsi="Arial" w:cs="Arial"/>
          <w:color w:val="888888"/>
          <w:sz w:val="22"/>
          <w:szCs w:val="22"/>
        </w:rPr>
        <w:t xml:space="preserve">  .......  Page 6</w:t>
      </w:r>
    </w:p>
    <w:p w14:paraId="27E53EA8" w14:textId="77777777" w:rsidR="00982051" w:rsidRDefault="00000000">
      <w:pPr>
        <w:spacing w:before="60" w:after="60"/>
      </w:pPr>
      <w:r>
        <w:rPr>
          <w:rFonts w:ascii="Arial" w:eastAsia="Arial" w:hAnsi="Arial" w:cs="Arial"/>
          <w:sz w:val="22"/>
          <w:szCs w:val="22"/>
        </w:rPr>
        <w:t>7.  Graphical Representation</w:t>
      </w:r>
      <w:r>
        <w:rPr>
          <w:rFonts w:ascii="Arial" w:eastAsia="Arial" w:hAnsi="Arial" w:cs="Arial"/>
          <w:color w:val="888888"/>
          <w:sz w:val="22"/>
          <w:szCs w:val="22"/>
        </w:rPr>
        <w:t xml:space="preserve">  .......  Page 7</w:t>
      </w:r>
    </w:p>
    <w:p w14:paraId="20A183CE" w14:textId="77777777" w:rsidR="00982051" w:rsidRDefault="00000000">
      <w:pPr>
        <w:spacing w:before="60" w:after="60"/>
      </w:pPr>
      <w:r>
        <w:rPr>
          <w:rFonts w:ascii="Arial" w:eastAsia="Arial" w:hAnsi="Arial" w:cs="Arial"/>
          <w:sz w:val="22"/>
          <w:szCs w:val="22"/>
        </w:rPr>
        <w:t>8.  Key Findings &amp; Interpretation</w:t>
      </w:r>
      <w:r>
        <w:rPr>
          <w:rFonts w:ascii="Arial" w:eastAsia="Arial" w:hAnsi="Arial" w:cs="Arial"/>
          <w:color w:val="888888"/>
          <w:sz w:val="22"/>
          <w:szCs w:val="22"/>
        </w:rPr>
        <w:t xml:space="preserve">  .......  Page 8</w:t>
      </w:r>
    </w:p>
    <w:p w14:paraId="6F4A4854" w14:textId="77777777" w:rsidR="00982051" w:rsidRDefault="00000000">
      <w:pPr>
        <w:spacing w:before="60" w:after="60"/>
      </w:pPr>
      <w:r>
        <w:rPr>
          <w:rFonts w:ascii="Arial" w:eastAsia="Arial" w:hAnsi="Arial" w:cs="Arial"/>
          <w:sz w:val="22"/>
          <w:szCs w:val="22"/>
        </w:rPr>
        <w:t>9.  Conclusion</w:t>
      </w:r>
      <w:r>
        <w:rPr>
          <w:rFonts w:ascii="Arial" w:eastAsia="Arial" w:hAnsi="Arial" w:cs="Arial"/>
          <w:color w:val="888888"/>
          <w:sz w:val="22"/>
          <w:szCs w:val="22"/>
        </w:rPr>
        <w:t xml:space="preserve">  .......  Page 9</w:t>
      </w:r>
    </w:p>
    <w:p w14:paraId="0FC5BE32" w14:textId="77777777" w:rsidR="00982051" w:rsidRDefault="00000000">
      <w:pPr>
        <w:spacing w:before="60" w:after="60"/>
      </w:pPr>
      <w:r>
        <w:rPr>
          <w:rFonts w:ascii="Arial" w:eastAsia="Arial" w:hAnsi="Arial" w:cs="Arial"/>
          <w:sz w:val="22"/>
          <w:szCs w:val="22"/>
        </w:rPr>
        <w:t>10.  References</w:t>
      </w:r>
      <w:r>
        <w:rPr>
          <w:rFonts w:ascii="Arial" w:eastAsia="Arial" w:hAnsi="Arial" w:cs="Arial"/>
          <w:color w:val="888888"/>
          <w:sz w:val="22"/>
          <w:szCs w:val="22"/>
        </w:rPr>
        <w:t xml:space="preserve">  .......  Page 9</w:t>
      </w:r>
    </w:p>
    <w:p w14:paraId="301E4B6C" w14:textId="77777777" w:rsidR="00982051" w:rsidRDefault="00000000">
      <w:r>
        <w:br w:type="page"/>
      </w:r>
    </w:p>
    <w:p w14:paraId="15403E1C"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1. Introduction</w:t>
      </w:r>
    </w:p>
    <w:p w14:paraId="5C9B83C6" w14:textId="77777777" w:rsidR="00982051" w:rsidRDefault="00000000">
      <w:pPr>
        <w:spacing w:before="80" w:after="80"/>
        <w:jc w:val="both"/>
      </w:pPr>
      <w:r>
        <w:rPr>
          <w:rFonts w:ascii="Arial" w:eastAsia="Arial" w:hAnsi="Arial" w:cs="Arial"/>
          <w:sz w:val="22"/>
          <w:szCs w:val="22"/>
        </w:rPr>
        <w:t>The profitability of a company is a critical indicator of its financial health and operational efficiency. This project aims to conduct an in-depth analysis of the financial performance of Tata Consultancy Services Limited (TCS) over a five-year period from FY 2019-20 to FY 2023-24.</w:t>
      </w:r>
    </w:p>
    <w:p w14:paraId="551B2755" w14:textId="77777777" w:rsidR="00982051" w:rsidRDefault="00000000">
      <w:pPr>
        <w:spacing w:before="80" w:after="80"/>
        <w:jc w:val="both"/>
      </w:pPr>
      <w:r>
        <w:rPr>
          <w:rFonts w:ascii="Arial" w:eastAsia="Arial" w:hAnsi="Arial" w:cs="Arial"/>
          <w:sz w:val="22"/>
          <w:szCs w:val="22"/>
        </w:rPr>
        <w:t>Profit analysis helps stakeholders — including investors, management, and policymakers — understand how effectively a company generates profit from its revenue, manages costs, and creates value for shareholders. For a large IT multinational like TCS, such analysis is especially significant given the dynamic nature of global technology markets.</w:t>
      </w:r>
    </w:p>
    <w:p w14:paraId="0DC0D102" w14:textId="77777777" w:rsidR="00982051" w:rsidRDefault="00000000">
      <w:pPr>
        <w:spacing w:before="80" w:after="80"/>
        <w:jc w:val="both"/>
      </w:pPr>
      <w:r>
        <w:rPr>
          <w:rFonts w:ascii="Arial" w:eastAsia="Arial" w:hAnsi="Arial" w:cs="Arial"/>
          <w:sz w:val="22"/>
          <w:szCs w:val="22"/>
        </w:rPr>
        <w:t>This study uses publicly available data from TCS Annual Reports and BSE/NSE filings. All financial figures are in Indian Rupees (₹) in Crores unless otherwise stated.</w:t>
      </w:r>
    </w:p>
    <w:p w14:paraId="391EE722" w14:textId="77777777" w:rsidR="00982051" w:rsidRDefault="00982051">
      <w:pPr>
        <w:spacing w:before="60" w:after="60"/>
      </w:pPr>
    </w:p>
    <w:p w14:paraId="7195E009" w14:textId="77777777" w:rsidR="00982051" w:rsidRDefault="00000000">
      <w:pPr>
        <w:pBdr>
          <w:bottom w:val="single" w:sz="6" w:space="1" w:color="2E75B6"/>
        </w:pBdr>
        <w:spacing w:before="280" w:after="120"/>
      </w:pPr>
      <w:r>
        <w:rPr>
          <w:rFonts w:ascii="Arial" w:eastAsia="Arial" w:hAnsi="Arial" w:cs="Arial"/>
          <w:b/>
          <w:bCs/>
          <w:color w:val="1F4E79"/>
          <w:sz w:val="32"/>
          <w:szCs w:val="32"/>
        </w:rPr>
        <w:t>2. Company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82051" w14:paraId="3B9FBD4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C0AD90" w14:textId="77777777" w:rsidR="00982051" w:rsidRDefault="00000000">
            <w:r>
              <w:rPr>
                <w:rFonts w:ascii="Arial" w:eastAsia="Arial" w:hAnsi="Arial" w:cs="Arial"/>
                <w:b/>
                <w:bCs/>
              </w:rPr>
              <w:t>Company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F1D32" w14:textId="77777777" w:rsidR="00982051" w:rsidRDefault="00000000">
            <w:r>
              <w:rPr>
                <w:rFonts w:ascii="Arial" w:eastAsia="Arial" w:hAnsi="Arial" w:cs="Arial"/>
              </w:rPr>
              <w:t>Tata Consultancy Services Limited (TCS)</w:t>
            </w:r>
          </w:p>
        </w:tc>
      </w:tr>
      <w:tr w:rsidR="00982051" w14:paraId="42B6F7E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2C92B8" w14:textId="77777777" w:rsidR="00982051" w:rsidRDefault="00000000">
            <w:r>
              <w:rPr>
                <w:rFonts w:ascii="Arial" w:eastAsia="Arial" w:hAnsi="Arial" w:cs="Arial"/>
                <w:b/>
                <w:bCs/>
              </w:rPr>
              <w:t>Founded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5A5D1" w14:textId="77777777" w:rsidR="00982051" w:rsidRDefault="00000000">
            <w:r>
              <w:rPr>
                <w:rFonts w:ascii="Arial" w:eastAsia="Arial" w:hAnsi="Arial" w:cs="Arial"/>
              </w:rPr>
              <w:t>1968</w:t>
            </w:r>
          </w:p>
        </w:tc>
      </w:tr>
      <w:tr w:rsidR="00982051" w14:paraId="411BC7A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511C82" w14:textId="77777777" w:rsidR="00982051" w:rsidRDefault="00000000">
            <w:r>
              <w:rPr>
                <w:rFonts w:ascii="Arial" w:eastAsia="Arial" w:hAnsi="Arial" w:cs="Arial"/>
                <w:b/>
                <w:bCs/>
              </w:rPr>
              <w:t>Headquarters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548F" w14:textId="77777777" w:rsidR="00982051" w:rsidRDefault="00000000">
            <w:r>
              <w:rPr>
                <w:rFonts w:ascii="Arial" w:eastAsia="Arial" w:hAnsi="Arial" w:cs="Arial"/>
              </w:rPr>
              <w:t>Mumbai, Maharashtra, India</w:t>
            </w:r>
          </w:p>
        </w:tc>
      </w:tr>
      <w:tr w:rsidR="00982051" w14:paraId="41D6366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C7CB8D" w14:textId="77777777" w:rsidR="00982051" w:rsidRDefault="00000000">
            <w:r>
              <w:rPr>
                <w:rFonts w:ascii="Arial" w:eastAsia="Arial" w:hAnsi="Arial" w:cs="Arial"/>
                <w:b/>
                <w:bCs/>
              </w:rPr>
              <w:t>Parent Company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8D7A8" w14:textId="77777777" w:rsidR="00982051" w:rsidRDefault="00000000">
            <w:r>
              <w:rPr>
                <w:rFonts w:ascii="Arial" w:eastAsia="Arial" w:hAnsi="Arial" w:cs="Arial"/>
              </w:rPr>
              <w:t>Tata Sons Limited (Tata Group)</w:t>
            </w:r>
          </w:p>
        </w:tc>
      </w:tr>
      <w:tr w:rsidR="00982051" w14:paraId="504CF48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F1D63F" w14:textId="77777777" w:rsidR="00982051" w:rsidRDefault="00000000">
            <w:r>
              <w:rPr>
                <w:rFonts w:ascii="Arial" w:eastAsia="Arial" w:hAnsi="Arial" w:cs="Arial"/>
                <w:b/>
                <w:bCs/>
              </w:rPr>
              <w:t>Industry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51E01" w14:textId="77777777" w:rsidR="00982051" w:rsidRDefault="00000000">
            <w:r>
              <w:rPr>
                <w:rFonts w:ascii="Arial" w:eastAsia="Arial" w:hAnsi="Arial" w:cs="Arial"/>
              </w:rPr>
              <w:t>Information Technology (IT) Services &amp; Consulting</w:t>
            </w:r>
          </w:p>
        </w:tc>
      </w:tr>
      <w:tr w:rsidR="00982051" w14:paraId="1E52315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4D31DD" w14:textId="77777777" w:rsidR="00982051" w:rsidRDefault="00000000">
            <w:r>
              <w:rPr>
                <w:rFonts w:ascii="Arial" w:eastAsia="Arial" w:hAnsi="Arial" w:cs="Arial"/>
                <w:b/>
                <w:bCs/>
              </w:rPr>
              <w:t>Stock Exchange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EB0D2" w14:textId="77777777" w:rsidR="00982051" w:rsidRDefault="00000000">
            <w:r>
              <w:rPr>
                <w:rFonts w:ascii="Arial" w:eastAsia="Arial" w:hAnsi="Arial" w:cs="Arial"/>
              </w:rPr>
              <w:t>BSE: 532540 | NSE: TCS</w:t>
            </w:r>
          </w:p>
        </w:tc>
      </w:tr>
      <w:tr w:rsidR="00982051" w14:paraId="5BDF20D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3BDAA1" w14:textId="77777777" w:rsidR="00982051" w:rsidRDefault="00000000">
            <w:r>
              <w:rPr>
                <w:rFonts w:ascii="Arial" w:eastAsia="Arial" w:hAnsi="Arial" w:cs="Arial"/>
                <w:b/>
                <w:bCs/>
              </w:rPr>
              <w:t>Key Services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F2E46" w14:textId="77777777" w:rsidR="00982051" w:rsidRDefault="00000000">
            <w:r>
              <w:rPr>
                <w:rFonts w:ascii="Arial" w:eastAsia="Arial" w:hAnsi="Arial" w:cs="Arial"/>
              </w:rPr>
              <w:t>IT Services, Digital Transformation, BPO, Consulting</w:t>
            </w:r>
          </w:p>
        </w:tc>
      </w:tr>
      <w:tr w:rsidR="00982051" w14:paraId="6C932AD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FB1FFD" w14:textId="77777777" w:rsidR="00982051" w:rsidRDefault="00000000">
            <w:r>
              <w:rPr>
                <w:rFonts w:ascii="Arial" w:eastAsia="Arial" w:hAnsi="Arial" w:cs="Arial"/>
                <w:b/>
                <w:bCs/>
              </w:rPr>
              <w:t>Presence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6DE83" w14:textId="77777777" w:rsidR="00982051" w:rsidRDefault="00000000">
            <w:r>
              <w:rPr>
                <w:rFonts w:ascii="Arial" w:eastAsia="Arial" w:hAnsi="Arial" w:cs="Arial"/>
              </w:rPr>
              <w:t>More than 55 countries, 500+ offices globally</w:t>
            </w:r>
          </w:p>
        </w:tc>
      </w:tr>
      <w:tr w:rsidR="00982051" w14:paraId="3C644C4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E07A56" w14:textId="77777777" w:rsidR="00982051" w:rsidRDefault="00000000">
            <w:r>
              <w:rPr>
                <w:rFonts w:ascii="Arial" w:eastAsia="Arial" w:hAnsi="Arial" w:cs="Arial"/>
                <w:b/>
                <w:bCs/>
              </w:rPr>
              <w:t>Employees (FY24)</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2078" w14:textId="77777777" w:rsidR="00982051" w:rsidRDefault="00000000">
            <w:r>
              <w:rPr>
                <w:rFonts w:ascii="Arial" w:eastAsia="Arial" w:hAnsi="Arial" w:cs="Arial"/>
              </w:rPr>
              <w:t>~6,01,546</w:t>
            </w:r>
          </w:p>
        </w:tc>
      </w:tr>
      <w:tr w:rsidR="00982051" w14:paraId="6BB73F7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CFDBFE" w14:textId="77777777" w:rsidR="00982051" w:rsidRDefault="00000000">
            <w:r>
              <w:rPr>
                <w:rFonts w:ascii="Arial" w:eastAsia="Arial" w:hAnsi="Arial" w:cs="Arial"/>
                <w:b/>
                <w:bCs/>
              </w:rPr>
              <w:t>Market Cap (FY24)</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79E0E" w14:textId="77777777" w:rsidR="00982051" w:rsidRDefault="00000000">
            <w:r>
              <w:rPr>
                <w:rFonts w:ascii="Arial" w:eastAsia="Arial" w:hAnsi="Arial" w:cs="Arial"/>
              </w:rPr>
              <w:t>~₹14,00,000 Crores (One of India's most valued companies)</w:t>
            </w:r>
          </w:p>
        </w:tc>
      </w:tr>
    </w:tbl>
    <w:p w14:paraId="7009F9BD" w14:textId="77777777" w:rsidR="00982051" w:rsidRDefault="00982051">
      <w:pPr>
        <w:spacing w:before="60" w:after="60"/>
      </w:pPr>
    </w:p>
    <w:p w14:paraId="49BEB548" w14:textId="77777777" w:rsidR="00982051" w:rsidRDefault="00000000">
      <w:pPr>
        <w:spacing w:before="80" w:after="80"/>
        <w:jc w:val="both"/>
      </w:pPr>
      <w:r>
        <w:rPr>
          <w:rFonts w:ascii="Arial" w:eastAsia="Arial" w:hAnsi="Arial" w:cs="Arial"/>
          <w:sz w:val="22"/>
          <w:szCs w:val="22"/>
        </w:rPr>
        <w:t>TCS is the flagship company of the Tata Group and one of the world's top IT services companies. It offers a comprehensive portfolio of IT services, consulting, and business solutions to clients across banking, finance, healthcare, manufacturing, and telecom sectors.</w:t>
      </w:r>
    </w:p>
    <w:p w14:paraId="343D5B1B" w14:textId="77777777" w:rsidR="00982051" w:rsidRDefault="00000000">
      <w:r>
        <w:br w:type="page"/>
      </w:r>
    </w:p>
    <w:p w14:paraId="30DCED61"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3. Objectives of Study</w:t>
      </w:r>
    </w:p>
    <w:p w14:paraId="268B8286" w14:textId="77777777" w:rsidR="00982051" w:rsidRDefault="00000000">
      <w:pPr>
        <w:pStyle w:val="ListParagraph"/>
        <w:numPr>
          <w:ilvl w:val="0"/>
          <w:numId w:val="2"/>
        </w:numPr>
        <w:spacing w:before="40" w:after="40"/>
      </w:pPr>
      <w:r>
        <w:rPr>
          <w:rFonts w:ascii="Arial" w:eastAsia="Arial" w:hAnsi="Arial" w:cs="Arial"/>
          <w:sz w:val="22"/>
          <w:szCs w:val="22"/>
        </w:rPr>
        <w:t xml:space="preserve">To </w:t>
      </w:r>
      <w:proofErr w:type="spellStart"/>
      <w:r>
        <w:rPr>
          <w:rFonts w:ascii="Arial" w:eastAsia="Arial" w:hAnsi="Arial" w:cs="Arial"/>
          <w:sz w:val="22"/>
          <w:szCs w:val="22"/>
        </w:rPr>
        <w:t>analyze</w:t>
      </w:r>
      <w:proofErr w:type="spellEnd"/>
      <w:r>
        <w:rPr>
          <w:rFonts w:ascii="Arial" w:eastAsia="Arial" w:hAnsi="Arial" w:cs="Arial"/>
          <w:sz w:val="22"/>
          <w:szCs w:val="22"/>
        </w:rPr>
        <w:t xml:space="preserve"> the revenue and profit trends of TCS over the five-year period FY2020–FY2024.</w:t>
      </w:r>
    </w:p>
    <w:p w14:paraId="511B11D1" w14:textId="77777777" w:rsidR="00982051" w:rsidRDefault="00000000">
      <w:pPr>
        <w:pStyle w:val="ListParagraph"/>
        <w:numPr>
          <w:ilvl w:val="0"/>
          <w:numId w:val="2"/>
        </w:numPr>
        <w:spacing w:before="40" w:after="40"/>
      </w:pPr>
      <w:r>
        <w:rPr>
          <w:rFonts w:ascii="Arial" w:eastAsia="Arial" w:hAnsi="Arial" w:cs="Arial"/>
          <w:sz w:val="22"/>
          <w:szCs w:val="22"/>
        </w:rPr>
        <w:t>To evaluate key financial ratios — Net Profit Margin, Operating Profit Margin, and Expense Ratio.</w:t>
      </w:r>
    </w:p>
    <w:p w14:paraId="16874F2D" w14:textId="77777777" w:rsidR="00982051" w:rsidRDefault="00000000">
      <w:pPr>
        <w:pStyle w:val="ListParagraph"/>
        <w:numPr>
          <w:ilvl w:val="0"/>
          <w:numId w:val="2"/>
        </w:numPr>
        <w:spacing w:before="40" w:after="40"/>
      </w:pPr>
      <w:r>
        <w:rPr>
          <w:rFonts w:ascii="Arial" w:eastAsia="Arial" w:hAnsi="Arial" w:cs="Arial"/>
          <w:sz w:val="22"/>
          <w:szCs w:val="22"/>
        </w:rPr>
        <w:t>To calculate and interpret year-on-year growth rates and Compound Annual Growth Rate (CAGR) for revenue and net profit.</w:t>
      </w:r>
    </w:p>
    <w:p w14:paraId="5FF5396D" w14:textId="77777777" w:rsidR="00982051" w:rsidRDefault="00000000">
      <w:pPr>
        <w:pStyle w:val="ListParagraph"/>
        <w:numPr>
          <w:ilvl w:val="0"/>
          <w:numId w:val="2"/>
        </w:numPr>
        <w:spacing w:before="40" w:after="40"/>
      </w:pPr>
      <w:r>
        <w:rPr>
          <w:rFonts w:ascii="Arial" w:eastAsia="Arial" w:hAnsi="Arial" w:cs="Arial"/>
          <w:sz w:val="22"/>
          <w:szCs w:val="22"/>
        </w:rPr>
        <w:t>To identify factors influencing profitability and draw meaningful conclusions about TCS's financial health.</w:t>
      </w:r>
    </w:p>
    <w:p w14:paraId="5DA900C2" w14:textId="77777777" w:rsidR="00982051" w:rsidRDefault="00000000">
      <w:pPr>
        <w:pStyle w:val="ListParagraph"/>
        <w:numPr>
          <w:ilvl w:val="0"/>
          <w:numId w:val="2"/>
        </w:numPr>
        <w:spacing w:before="40" w:after="40"/>
      </w:pPr>
      <w:r>
        <w:rPr>
          <w:rFonts w:ascii="Arial" w:eastAsia="Arial" w:hAnsi="Arial" w:cs="Arial"/>
          <w:sz w:val="22"/>
          <w:szCs w:val="22"/>
        </w:rPr>
        <w:t>To present data through charts and tables for visual understanding of financial trends.</w:t>
      </w:r>
    </w:p>
    <w:p w14:paraId="378EFD7A" w14:textId="77777777" w:rsidR="00982051" w:rsidRDefault="00982051">
      <w:pPr>
        <w:spacing w:before="60" w:after="60"/>
      </w:pPr>
    </w:p>
    <w:p w14:paraId="039EF37C" w14:textId="77777777" w:rsidR="00982051" w:rsidRDefault="00000000">
      <w:pPr>
        <w:pBdr>
          <w:bottom w:val="single" w:sz="6" w:space="1" w:color="2E75B6"/>
        </w:pBdr>
        <w:spacing w:before="280" w:after="120"/>
      </w:pPr>
      <w:r>
        <w:rPr>
          <w:rFonts w:ascii="Arial" w:eastAsia="Arial" w:hAnsi="Arial" w:cs="Arial"/>
          <w:b/>
          <w:bCs/>
          <w:color w:val="1F4E79"/>
          <w:sz w:val="32"/>
          <w:szCs w:val="32"/>
        </w:rPr>
        <w:t>4. Research Methodology</w:t>
      </w:r>
    </w:p>
    <w:p w14:paraId="03EF9E70" w14:textId="77777777" w:rsidR="00982051" w:rsidRDefault="00000000">
      <w:pPr>
        <w:spacing w:before="200" w:after="80"/>
      </w:pPr>
      <w:r>
        <w:rPr>
          <w:rFonts w:ascii="Arial" w:eastAsia="Arial" w:hAnsi="Arial" w:cs="Arial"/>
          <w:b/>
          <w:bCs/>
          <w:color w:val="2E75B6"/>
          <w:sz w:val="26"/>
          <w:szCs w:val="26"/>
        </w:rPr>
        <w:t>4.1 Type of Research</w:t>
      </w:r>
    </w:p>
    <w:p w14:paraId="1A9DDF9E" w14:textId="77777777" w:rsidR="00982051" w:rsidRDefault="00000000">
      <w:pPr>
        <w:spacing w:before="80" w:after="80"/>
        <w:jc w:val="both"/>
      </w:pPr>
      <w:r>
        <w:rPr>
          <w:rFonts w:ascii="Arial" w:eastAsia="Arial" w:hAnsi="Arial" w:cs="Arial"/>
          <w:sz w:val="22"/>
          <w:szCs w:val="22"/>
        </w:rPr>
        <w:t xml:space="preserve">This project is based on secondary data research. Financial data has been collected from published annual reports, BSE India filings, Screener.in, and </w:t>
      </w:r>
      <w:proofErr w:type="spellStart"/>
      <w:r>
        <w:rPr>
          <w:rFonts w:ascii="Arial" w:eastAsia="Arial" w:hAnsi="Arial" w:cs="Arial"/>
          <w:sz w:val="22"/>
          <w:szCs w:val="22"/>
        </w:rPr>
        <w:t>Moneycontrol</w:t>
      </w:r>
      <w:proofErr w:type="spellEnd"/>
      <w:r>
        <w:rPr>
          <w:rFonts w:ascii="Arial" w:eastAsia="Arial" w:hAnsi="Arial" w:cs="Arial"/>
          <w:sz w:val="22"/>
          <w:szCs w:val="22"/>
        </w:rPr>
        <w:t>.</w:t>
      </w:r>
    </w:p>
    <w:p w14:paraId="35987B54" w14:textId="77777777" w:rsidR="00982051" w:rsidRDefault="00000000">
      <w:pPr>
        <w:spacing w:before="200" w:after="80"/>
      </w:pPr>
      <w:r>
        <w:rPr>
          <w:rFonts w:ascii="Arial" w:eastAsia="Arial" w:hAnsi="Arial" w:cs="Arial"/>
          <w:b/>
          <w:bCs/>
          <w:color w:val="2E75B6"/>
          <w:sz w:val="26"/>
          <w:szCs w:val="26"/>
        </w:rPr>
        <w:t>4.2 Data Sources</w:t>
      </w:r>
    </w:p>
    <w:p w14:paraId="35C01192" w14:textId="77777777" w:rsidR="00982051" w:rsidRDefault="00000000">
      <w:pPr>
        <w:pStyle w:val="ListParagraph"/>
        <w:numPr>
          <w:ilvl w:val="0"/>
          <w:numId w:val="2"/>
        </w:numPr>
        <w:spacing w:before="40" w:after="40"/>
      </w:pPr>
      <w:r>
        <w:rPr>
          <w:rFonts w:ascii="Arial" w:eastAsia="Arial" w:hAnsi="Arial" w:cs="Arial"/>
          <w:sz w:val="22"/>
          <w:szCs w:val="22"/>
        </w:rPr>
        <w:t>TCS Annual Reports (FY 2019-20 to FY 2023-24)</w:t>
      </w:r>
    </w:p>
    <w:p w14:paraId="246ECF87" w14:textId="77777777" w:rsidR="00982051" w:rsidRDefault="00000000">
      <w:pPr>
        <w:pStyle w:val="ListParagraph"/>
        <w:numPr>
          <w:ilvl w:val="0"/>
          <w:numId w:val="2"/>
        </w:numPr>
        <w:spacing w:before="40" w:after="40"/>
      </w:pPr>
      <w:r>
        <w:rPr>
          <w:rFonts w:ascii="Arial" w:eastAsia="Arial" w:hAnsi="Arial" w:cs="Arial"/>
          <w:sz w:val="22"/>
          <w:szCs w:val="22"/>
        </w:rPr>
        <w:t>BSE India (www.bseindia.com) — Official filing portal</w:t>
      </w:r>
    </w:p>
    <w:p w14:paraId="4A1C3E71" w14:textId="77777777" w:rsidR="00982051" w:rsidRDefault="00000000">
      <w:pPr>
        <w:pStyle w:val="ListParagraph"/>
        <w:numPr>
          <w:ilvl w:val="0"/>
          <w:numId w:val="2"/>
        </w:numPr>
        <w:spacing w:before="40" w:after="40"/>
      </w:pPr>
      <w:r>
        <w:rPr>
          <w:rFonts w:ascii="Arial" w:eastAsia="Arial" w:hAnsi="Arial" w:cs="Arial"/>
          <w:sz w:val="22"/>
          <w:szCs w:val="22"/>
        </w:rPr>
        <w:t>Screener.in — Financial data aggregator</w:t>
      </w:r>
    </w:p>
    <w:p w14:paraId="38944B12" w14:textId="77777777" w:rsidR="00982051" w:rsidRDefault="00000000">
      <w:pPr>
        <w:pStyle w:val="ListParagraph"/>
        <w:numPr>
          <w:ilvl w:val="0"/>
          <w:numId w:val="2"/>
        </w:numPr>
        <w:spacing w:before="40" w:after="40"/>
      </w:pPr>
      <w:r>
        <w:rPr>
          <w:rFonts w:ascii="Arial" w:eastAsia="Arial" w:hAnsi="Arial" w:cs="Arial"/>
          <w:sz w:val="22"/>
          <w:szCs w:val="22"/>
        </w:rPr>
        <w:t>Moneycontrol.com — Stock and financial data</w:t>
      </w:r>
    </w:p>
    <w:p w14:paraId="2C10B919" w14:textId="77777777" w:rsidR="00982051" w:rsidRDefault="00000000">
      <w:pPr>
        <w:spacing w:before="200" w:after="80"/>
      </w:pPr>
      <w:r>
        <w:rPr>
          <w:rFonts w:ascii="Arial" w:eastAsia="Arial" w:hAnsi="Arial" w:cs="Arial"/>
          <w:b/>
          <w:bCs/>
          <w:color w:val="2E75B6"/>
          <w:sz w:val="26"/>
          <w:szCs w:val="26"/>
        </w:rPr>
        <w:t>4.3 Tools Used</w:t>
      </w:r>
    </w:p>
    <w:p w14:paraId="1899B978" w14:textId="77777777" w:rsidR="00982051" w:rsidRDefault="00000000">
      <w:pPr>
        <w:pStyle w:val="ListParagraph"/>
        <w:numPr>
          <w:ilvl w:val="0"/>
          <w:numId w:val="2"/>
        </w:numPr>
        <w:spacing w:before="40" w:after="40"/>
      </w:pPr>
      <w:r>
        <w:rPr>
          <w:rFonts w:ascii="Arial" w:eastAsia="Arial" w:hAnsi="Arial" w:cs="Arial"/>
          <w:sz w:val="22"/>
          <w:szCs w:val="22"/>
        </w:rPr>
        <w:t>Microsoft Excel — For data entry, ratio calculation, and chart creation</w:t>
      </w:r>
    </w:p>
    <w:p w14:paraId="5C6CEBB6" w14:textId="77777777" w:rsidR="00982051" w:rsidRDefault="00000000">
      <w:pPr>
        <w:pStyle w:val="ListParagraph"/>
        <w:numPr>
          <w:ilvl w:val="0"/>
          <w:numId w:val="2"/>
        </w:numPr>
        <w:spacing w:before="40" w:after="40"/>
      </w:pPr>
      <w:r>
        <w:rPr>
          <w:rFonts w:ascii="Arial" w:eastAsia="Arial" w:hAnsi="Arial" w:cs="Arial"/>
          <w:sz w:val="22"/>
          <w:szCs w:val="22"/>
        </w:rPr>
        <w:t>Microsoft Word — For report writing and formatting</w:t>
      </w:r>
    </w:p>
    <w:p w14:paraId="599B8B05" w14:textId="77777777" w:rsidR="00982051" w:rsidRDefault="00000000">
      <w:pPr>
        <w:spacing w:before="200" w:after="80"/>
      </w:pPr>
      <w:r>
        <w:rPr>
          <w:rFonts w:ascii="Arial" w:eastAsia="Arial" w:hAnsi="Arial" w:cs="Arial"/>
          <w:b/>
          <w:bCs/>
          <w:color w:val="2E75B6"/>
          <w:sz w:val="26"/>
          <w:szCs w:val="26"/>
        </w:rPr>
        <w:t>4.4 Period of Study</w:t>
      </w:r>
    </w:p>
    <w:p w14:paraId="3F3119DB" w14:textId="77777777" w:rsidR="00982051" w:rsidRDefault="00000000">
      <w:pPr>
        <w:spacing w:before="80" w:after="80"/>
        <w:jc w:val="both"/>
      </w:pPr>
      <w:r>
        <w:rPr>
          <w:rFonts w:ascii="Arial" w:eastAsia="Arial" w:hAnsi="Arial" w:cs="Arial"/>
          <w:sz w:val="22"/>
          <w:szCs w:val="22"/>
        </w:rPr>
        <w:t>The study covers a five-year period from Financial Year 2019-20 (April 2019 – March 2020) to Financial Year 2023-24 (April 2023 – March 2024).</w:t>
      </w:r>
    </w:p>
    <w:p w14:paraId="59B9B4A2" w14:textId="77777777" w:rsidR="00982051" w:rsidRDefault="00000000">
      <w:r>
        <w:br w:type="page"/>
      </w:r>
    </w:p>
    <w:p w14:paraId="44538F08"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5. Financial Data – Last 5 Years</w:t>
      </w:r>
    </w:p>
    <w:p w14:paraId="54A2FA20" w14:textId="77777777" w:rsidR="00982051" w:rsidRDefault="00000000">
      <w:pPr>
        <w:spacing w:before="80" w:after="80"/>
        <w:jc w:val="both"/>
      </w:pPr>
      <w:r>
        <w:rPr>
          <w:rFonts w:ascii="Arial" w:eastAsia="Arial" w:hAnsi="Arial" w:cs="Arial"/>
          <w:sz w:val="22"/>
          <w:szCs w:val="22"/>
        </w:rPr>
        <w:t>The table below presents the consolidated financial data of TCS for the five financial years under study. All figures are in Indian Rupees (₹) in Crores.</w:t>
      </w:r>
    </w:p>
    <w:p w14:paraId="0B627DC3" w14:textId="77777777" w:rsidR="00982051" w:rsidRDefault="00982051">
      <w:pPr>
        <w:spacing w:before="60" w:after="6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440"/>
        <w:gridCol w:w="1680"/>
        <w:gridCol w:w="1440"/>
        <w:gridCol w:w="1680"/>
        <w:gridCol w:w="1080"/>
        <w:gridCol w:w="1200"/>
      </w:tblGrid>
      <w:tr w:rsidR="00982051" w14:paraId="1B9EB549" w14:textId="77777777">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5C7F570A" w14:textId="77777777" w:rsidR="00982051" w:rsidRDefault="00000000">
            <w:pPr>
              <w:jc w:val="center"/>
            </w:pPr>
            <w:r>
              <w:rPr>
                <w:rFonts w:ascii="Arial" w:eastAsia="Arial" w:hAnsi="Arial" w:cs="Arial"/>
                <w:b/>
                <w:bCs/>
                <w:color w:val="FFFFFF"/>
                <w:sz w:val="18"/>
                <w:szCs w:val="18"/>
              </w:rPr>
              <w:t>Financial Year</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C3AF320" w14:textId="77777777" w:rsidR="00982051" w:rsidRDefault="00000000">
            <w:pPr>
              <w:jc w:val="center"/>
            </w:pPr>
            <w:r>
              <w:rPr>
                <w:rFonts w:ascii="Arial" w:eastAsia="Arial" w:hAnsi="Arial" w:cs="Arial"/>
                <w:b/>
                <w:bCs/>
                <w:color w:val="FFFFFF"/>
                <w:sz w:val="18"/>
                <w:szCs w:val="18"/>
              </w:rPr>
              <w:t>Revenue (₹ Cr)</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C8DD9F6" w14:textId="77777777" w:rsidR="00982051" w:rsidRDefault="00000000">
            <w:pPr>
              <w:jc w:val="center"/>
            </w:pPr>
            <w:r>
              <w:rPr>
                <w:rFonts w:ascii="Arial" w:eastAsia="Arial" w:hAnsi="Arial" w:cs="Arial"/>
                <w:b/>
                <w:bCs/>
                <w:color w:val="FFFFFF"/>
                <w:sz w:val="18"/>
                <w:szCs w:val="18"/>
              </w:rPr>
              <w:t>Operating Profit (₹ Cr)</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8EF62D9" w14:textId="77777777" w:rsidR="00982051" w:rsidRDefault="00000000">
            <w:pPr>
              <w:jc w:val="center"/>
            </w:pPr>
            <w:r>
              <w:rPr>
                <w:rFonts w:ascii="Arial" w:eastAsia="Arial" w:hAnsi="Arial" w:cs="Arial"/>
                <w:b/>
                <w:bCs/>
                <w:color w:val="FFFFFF"/>
                <w:sz w:val="18"/>
                <w:szCs w:val="18"/>
              </w:rPr>
              <w:t>Net Profit (₹ Cr)</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2AFE650" w14:textId="77777777" w:rsidR="00982051" w:rsidRDefault="00000000">
            <w:pPr>
              <w:jc w:val="center"/>
            </w:pPr>
            <w:r>
              <w:rPr>
                <w:rFonts w:ascii="Arial" w:eastAsia="Arial" w:hAnsi="Arial" w:cs="Arial"/>
                <w:b/>
                <w:bCs/>
                <w:color w:val="FFFFFF"/>
                <w:sz w:val="18"/>
                <w:szCs w:val="18"/>
              </w:rPr>
              <w:t>Total Expenses (₹ Cr)</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1236FD8" w14:textId="77777777" w:rsidR="00982051" w:rsidRDefault="00000000">
            <w:pPr>
              <w:jc w:val="center"/>
            </w:pPr>
            <w:r>
              <w:rPr>
                <w:rFonts w:ascii="Arial" w:eastAsia="Arial" w:hAnsi="Arial" w:cs="Arial"/>
                <w:b/>
                <w:bCs/>
                <w:color w:val="FFFFFF"/>
                <w:sz w:val="18"/>
                <w:szCs w:val="18"/>
              </w:rPr>
              <w:t>EPS (₹)</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78670B6" w14:textId="77777777" w:rsidR="00982051" w:rsidRDefault="00000000">
            <w:pPr>
              <w:jc w:val="center"/>
            </w:pPr>
            <w:r>
              <w:rPr>
                <w:rFonts w:ascii="Arial" w:eastAsia="Arial" w:hAnsi="Arial" w:cs="Arial"/>
                <w:b/>
                <w:bCs/>
                <w:color w:val="FFFFFF"/>
                <w:sz w:val="18"/>
                <w:szCs w:val="18"/>
              </w:rPr>
              <w:t>Employees</w:t>
            </w:r>
          </w:p>
        </w:tc>
      </w:tr>
      <w:tr w:rsidR="00982051" w14:paraId="62629559"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29D69B8" w14:textId="77777777" w:rsidR="00982051" w:rsidRDefault="00000000">
            <w:r>
              <w:rPr>
                <w:rFonts w:ascii="Arial" w:eastAsia="Arial" w:hAnsi="Arial" w:cs="Arial"/>
                <w:b/>
                <w:bCs/>
                <w:color w:val="2E75B6"/>
                <w:sz w:val="19"/>
                <w:szCs w:val="19"/>
              </w:rPr>
              <w:t>FY 2019-20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BED7429" w14:textId="77777777" w:rsidR="00982051" w:rsidRDefault="00000000">
            <w:pPr>
              <w:jc w:val="center"/>
            </w:pPr>
            <w:r>
              <w:rPr>
                <w:rFonts w:ascii="Arial" w:eastAsia="Arial" w:hAnsi="Arial" w:cs="Arial"/>
                <w:color w:val="000000"/>
                <w:sz w:val="19"/>
                <w:szCs w:val="19"/>
              </w:rPr>
              <w:t>1,56,949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F8E2B33" w14:textId="77777777" w:rsidR="00982051" w:rsidRDefault="00000000">
            <w:pPr>
              <w:jc w:val="center"/>
            </w:pPr>
            <w:r>
              <w:rPr>
                <w:rFonts w:ascii="Arial" w:eastAsia="Arial" w:hAnsi="Arial" w:cs="Arial"/>
                <w:color w:val="000000"/>
                <w:sz w:val="19"/>
                <w:szCs w:val="19"/>
              </w:rPr>
              <w:t>38,327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C1C295B" w14:textId="77777777" w:rsidR="00982051" w:rsidRDefault="00000000">
            <w:pPr>
              <w:jc w:val="center"/>
            </w:pPr>
            <w:r>
              <w:rPr>
                <w:rFonts w:ascii="Arial" w:eastAsia="Arial" w:hAnsi="Arial" w:cs="Arial"/>
                <w:color w:val="000000"/>
                <w:sz w:val="19"/>
                <w:szCs w:val="19"/>
              </w:rPr>
              <w:t>32,430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F6B5C20" w14:textId="77777777" w:rsidR="00982051" w:rsidRDefault="00000000">
            <w:pPr>
              <w:jc w:val="center"/>
            </w:pPr>
            <w:r>
              <w:rPr>
                <w:rFonts w:ascii="Arial" w:eastAsia="Arial" w:hAnsi="Arial" w:cs="Arial"/>
                <w:color w:val="000000"/>
                <w:sz w:val="19"/>
                <w:szCs w:val="19"/>
              </w:rPr>
              <w:t>1,18,622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4BA3030" w14:textId="77777777" w:rsidR="00982051" w:rsidRDefault="00000000">
            <w:pPr>
              <w:jc w:val="center"/>
            </w:pPr>
            <w:r>
              <w:rPr>
                <w:rFonts w:ascii="Arial" w:eastAsia="Arial" w:hAnsi="Arial" w:cs="Arial"/>
                <w:color w:val="000000"/>
                <w:sz w:val="19"/>
                <w:szCs w:val="19"/>
              </w:rPr>
              <w:t>83.68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5D75EF3" w14:textId="77777777" w:rsidR="00982051" w:rsidRDefault="00000000">
            <w:pPr>
              <w:jc w:val="center"/>
            </w:pPr>
            <w:r>
              <w:rPr>
                <w:rFonts w:ascii="Arial" w:eastAsia="Arial" w:hAnsi="Arial" w:cs="Arial"/>
                <w:color w:val="000000"/>
                <w:sz w:val="19"/>
                <w:szCs w:val="19"/>
              </w:rPr>
              <w:t>4,48,464</w:t>
            </w:r>
          </w:p>
        </w:tc>
      </w:tr>
      <w:tr w:rsidR="00982051" w14:paraId="5EADFFDC" w14:textId="77777777">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B0867F2" w14:textId="77777777" w:rsidR="00982051" w:rsidRDefault="00000000">
            <w:r>
              <w:rPr>
                <w:rFonts w:ascii="Arial" w:eastAsia="Arial" w:hAnsi="Arial" w:cs="Arial"/>
                <w:b/>
                <w:bCs/>
                <w:color w:val="2E75B6"/>
                <w:sz w:val="19"/>
                <w:szCs w:val="19"/>
              </w:rPr>
              <w:t>FY 2020-21</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C88AF58" w14:textId="77777777" w:rsidR="00982051" w:rsidRDefault="00000000">
            <w:pPr>
              <w:jc w:val="center"/>
            </w:pPr>
            <w:r>
              <w:rPr>
                <w:rFonts w:ascii="Arial" w:eastAsia="Arial" w:hAnsi="Arial" w:cs="Arial"/>
                <w:color w:val="000000"/>
                <w:sz w:val="19"/>
                <w:szCs w:val="19"/>
              </w:rPr>
              <w:t>1,64,177</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2BB8354" w14:textId="77777777" w:rsidR="00982051" w:rsidRDefault="00000000">
            <w:pPr>
              <w:jc w:val="center"/>
            </w:pPr>
            <w:r>
              <w:rPr>
                <w:rFonts w:ascii="Arial" w:eastAsia="Arial" w:hAnsi="Arial" w:cs="Arial"/>
                <w:color w:val="000000"/>
                <w:sz w:val="19"/>
                <w:szCs w:val="19"/>
              </w:rPr>
              <w:t>41,720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1EAA2ED8" w14:textId="77777777" w:rsidR="00982051" w:rsidRDefault="00000000">
            <w:pPr>
              <w:jc w:val="center"/>
            </w:pPr>
            <w:r>
              <w:rPr>
                <w:rFonts w:ascii="Arial" w:eastAsia="Arial" w:hAnsi="Arial" w:cs="Arial"/>
                <w:color w:val="000000"/>
                <w:sz w:val="19"/>
                <w:szCs w:val="19"/>
              </w:rPr>
              <w:t>33,388</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1D3DBBB" w14:textId="77777777" w:rsidR="00982051" w:rsidRDefault="00000000">
            <w:pPr>
              <w:jc w:val="center"/>
            </w:pPr>
            <w:r>
              <w:rPr>
                <w:rFonts w:ascii="Arial" w:eastAsia="Arial" w:hAnsi="Arial" w:cs="Arial"/>
                <w:color w:val="000000"/>
                <w:sz w:val="19"/>
                <w:szCs w:val="19"/>
              </w:rPr>
              <w:t>1,22,457</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7A13E72" w14:textId="77777777" w:rsidR="00982051" w:rsidRDefault="00000000">
            <w:pPr>
              <w:jc w:val="center"/>
            </w:pPr>
            <w:r>
              <w:rPr>
                <w:rFonts w:ascii="Arial" w:eastAsia="Arial" w:hAnsi="Arial" w:cs="Arial"/>
                <w:color w:val="000000"/>
                <w:sz w:val="19"/>
                <w:szCs w:val="19"/>
              </w:rPr>
              <w:t>90.19</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FE56705" w14:textId="77777777" w:rsidR="00982051" w:rsidRDefault="00000000">
            <w:pPr>
              <w:jc w:val="center"/>
            </w:pPr>
            <w:r>
              <w:rPr>
                <w:rFonts w:ascii="Arial" w:eastAsia="Arial" w:hAnsi="Arial" w:cs="Arial"/>
                <w:color w:val="000000"/>
                <w:sz w:val="19"/>
                <w:szCs w:val="19"/>
              </w:rPr>
              <w:t>4,88,649</w:t>
            </w:r>
          </w:p>
        </w:tc>
      </w:tr>
      <w:tr w:rsidR="00982051" w14:paraId="0924D2CE"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43D7AFB" w14:textId="77777777" w:rsidR="00982051" w:rsidRDefault="00000000">
            <w:r>
              <w:rPr>
                <w:rFonts w:ascii="Arial" w:eastAsia="Arial" w:hAnsi="Arial" w:cs="Arial"/>
                <w:b/>
                <w:bCs/>
                <w:color w:val="2E75B6"/>
                <w:sz w:val="19"/>
                <w:szCs w:val="19"/>
              </w:rPr>
              <w:t>FY 2021-22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5A3C3C7" w14:textId="77777777" w:rsidR="00982051" w:rsidRDefault="00000000">
            <w:pPr>
              <w:jc w:val="center"/>
            </w:pPr>
            <w:r>
              <w:rPr>
                <w:rFonts w:ascii="Arial" w:eastAsia="Arial" w:hAnsi="Arial" w:cs="Arial"/>
                <w:color w:val="000000"/>
                <w:sz w:val="19"/>
                <w:szCs w:val="19"/>
              </w:rPr>
              <w:t>1,91,754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69A85E8" w14:textId="77777777" w:rsidR="00982051" w:rsidRDefault="00000000">
            <w:pPr>
              <w:jc w:val="center"/>
            </w:pPr>
            <w:r>
              <w:rPr>
                <w:rFonts w:ascii="Arial" w:eastAsia="Arial" w:hAnsi="Arial" w:cs="Arial"/>
                <w:color w:val="000000"/>
                <w:sz w:val="19"/>
                <w:szCs w:val="19"/>
              </w:rPr>
              <w:t>47,654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10FDC3C" w14:textId="77777777" w:rsidR="00982051" w:rsidRDefault="00000000">
            <w:pPr>
              <w:jc w:val="center"/>
            </w:pPr>
            <w:r>
              <w:rPr>
                <w:rFonts w:ascii="Arial" w:eastAsia="Arial" w:hAnsi="Arial" w:cs="Arial"/>
                <w:color w:val="000000"/>
                <w:sz w:val="19"/>
                <w:szCs w:val="19"/>
              </w:rPr>
              <w:t>38,327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880EA87" w14:textId="77777777" w:rsidR="00982051" w:rsidRDefault="00000000">
            <w:pPr>
              <w:jc w:val="center"/>
            </w:pPr>
            <w:r>
              <w:rPr>
                <w:rFonts w:ascii="Arial" w:eastAsia="Arial" w:hAnsi="Arial" w:cs="Arial"/>
                <w:color w:val="000000"/>
                <w:sz w:val="19"/>
                <w:szCs w:val="19"/>
              </w:rPr>
              <w:t>1,44,100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4B1F2EA" w14:textId="77777777" w:rsidR="00982051" w:rsidRDefault="00000000">
            <w:pPr>
              <w:jc w:val="center"/>
            </w:pPr>
            <w:r>
              <w:rPr>
                <w:rFonts w:ascii="Arial" w:eastAsia="Arial" w:hAnsi="Arial" w:cs="Arial"/>
                <w:color w:val="000000"/>
                <w:sz w:val="19"/>
                <w:szCs w:val="19"/>
              </w:rPr>
              <w:t>103.60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9C0EBD9" w14:textId="77777777" w:rsidR="00982051" w:rsidRDefault="00000000">
            <w:pPr>
              <w:jc w:val="center"/>
            </w:pPr>
            <w:r>
              <w:rPr>
                <w:rFonts w:ascii="Arial" w:eastAsia="Arial" w:hAnsi="Arial" w:cs="Arial"/>
                <w:color w:val="000000"/>
                <w:sz w:val="19"/>
                <w:szCs w:val="19"/>
              </w:rPr>
              <w:t>5,92,195</w:t>
            </w:r>
          </w:p>
        </w:tc>
      </w:tr>
      <w:tr w:rsidR="00982051" w14:paraId="5691FF52" w14:textId="77777777">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64B7DCAF" w14:textId="77777777" w:rsidR="00982051" w:rsidRDefault="00000000">
            <w:r>
              <w:rPr>
                <w:rFonts w:ascii="Arial" w:eastAsia="Arial" w:hAnsi="Arial" w:cs="Arial"/>
                <w:b/>
                <w:bCs/>
                <w:color w:val="2E75B6"/>
                <w:sz w:val="19"/>
                <w:szCs w:val="19"/>
              </w:rPr>
              <w:t>FY 2022-23</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C9A1A16" w14:textId="77777777" w:rsidR="00982051" w:rsidRDefault="00000000">
            <w:pPr>
              <w:jc w:val="center"/>
            </w:pPr>
            <w:r>
              <w:rPr>
                <w:rFonts w:ascii="Arial" w:eastAsia="Arial" w:hAnsi="Arial" w:cs="Arial"/>
                <w:color w:val="000000"/>
                <w:sz w:val="19"/>
                <w:szCs w:val="19"/>
              </w:rPr>
              <w:t>2,25,458</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EE7A924" w14:textId="77777777" w:rsidR="00982051" w:rsidRDefault="00000000">
            <w:pPr>
              <w:jc w:val="center"/>
            </w:pPr>
            <w:r>
              <w:rPr>
                <w:rFonts w:ascii="Arial" w:eastAsia="Arial" w:hAnsi="Arial" w:cs="Arial"/>
                <w:color w:val="000000"/>
                <w:sz w:val="19"/>
                <w:szCs w:val="19"/>
              </w:rPr>
              <w:t>53,553</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58509A53" w14:textId="77777777" w:rsidR="00982051" w:rsidRDefault="00000000">
            <w:pPr>
              <w:jc w:val="center"/>
            </w:pPr>
            <w:r>
              <w:rPr>
                <w:rFonts w:ascii="Arial" w:eastAsia="Arial" w:hAnsi="Arial" w:cs="Arial"/>
                <w:color w:val="000000"/>
                <w:sz w:val="19"/>
                <w:szCs w:val="19"/>
              </w:rPr>
              <w:t>42,147</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73D5099" w14:textId="77777777" w:rsidR="00982051" w:rsidRDefault="00000000">
            <w:pPr>
              <w:jc w:val="center"/>
            </w:pPr>
            <w:r>
              <w:rPr>
                <w:rFonts w:ascii="Arial" w:eastAsia="Arial" w:hAnsi="Arial" w:cs="Arial"/>
                <w:color w:val="000000"/>
                <w:sz w:val="19"/>
                <w:szCs w:val="19"/>
              </w:rPr>
              <w:t>1,71,905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649CD61" w14:textId="77777777" w:rsidR="00982051" w:rsidRDefault="00000000">
            <w:pPr>
              <w:jc w:val="center"/>
            </w:pPr>
            <w:r>
              <w:rPr>
                <w:rFonts w:ascii="Arial" w:eastAsia="Arial" w:hAnsi="Arial" w:cs="Arial"/>
                <w:color w:val="000000"/>
                <w:sz w:val="19"/>
                <w:szCs w:val="19"/>
              </w:rPr>
              <w:t>114.72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858ED3D" w14:textId="77777777" w:rsidR="00982051" w:rsidRDefault="00000000">
            <w:pPr>
              <w:jc w:val="center"/>
            </w:pPr>
            <w:r>
              <w:rPr>
                <w:rFonts w:ascii="Arial" w:eastAsia="Arial" w:hAnsi="Arial" w:cs="Arial"/>
                <w:color w:val="000000"/>
                <w:sz w:val="19"/>
                <w:szCs w:val="19"/>
              </w:rPr>
              <w:t>6,14,795</w:t>
            </w:r>
          </w:p>
        </w:tc>
      </w:tr>
      <w:tr w:rsidR="00982051" w14:paraId="0FA79350"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9FCD58A" w14:textId="77777777" w:rsidR="00982051" w:rsidRDefault="00000000">
            <w:r>
              <w:rPr>
                <w:rFonts w:ascii="Arial" w:eastAsia="Arial" w:hAnsi="Arial" w:cs="Arial"/>
                <w:b/>
                <w:bCs/>
                <w:color w:val="2E75B6"/>
                <w:sz w:val="19"/>
                <w:szCs w:val="19"/>
              </w:rPr>
              <w:t>FY 2023-24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398E66D" w14:textId="77777777" w:rsidR="00982051" w:rsidRDefault="00000000">
            <w:pPr>
              <w:jc w:val="center"/>
            </w:pPr>
            <w:r>
              <w:rPr>
                <w:rFonts w:ascii="Arial" w:eastAsia="Arial" w:hAnsi="Arial" w:cs="Arial"/>
                <w:color w:val="000000"/>
                <w:sz w:val="19"/>
                <w:szCs w:val="19"/>
              </w:rPr>
              <w:t>2,40,893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BCCAE88" w14:textId="77777777" w:rsidR="00982051" w:rsidRDefault="00000000">
            <w:pPr>
              <w:jc w:val="center"/>
            </w:pPr>
            <w:r>
              <w:rPr>
                <w:rFonts w:ascii="Arial" w:eastAsia="Arial" w:hAnsi="Arial" w:cs="Arial"/>
                <w:color w:val="000000"/>
                <w:sz w:val="19"/>
                <w:szCs w:val="19"/>
              </w:rPr>
              <w:t>63,000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6503D18" w14:textId="77777777" w:rsidR="00982051" w:rsidRDefault="00000000">
            <w:pPr>
              <w:jc w:val="center"/>
            </w:pPr>
            <w:r>
              <w:rPr>
                <w:rFonts w:ascii="Arial" w:eastAsia="Arial" w:hAnsi="Arial" w:cs="Arial"/>
                <w:color w:val="000000"/>
                <w:sz w:val="19"/>
                <w:szCs w:val="19"/>
              </w:rPr>
              <w:t>46,099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F44A993" w14:textId="77777777" w:rsidR="00982051" w:rsidRDefault="00000000">
            <w:pPr>
              <w:jc w:val="center"/>
            </w:pPr>
            <w:r>
              <w:rPr>
                <w:rFonts w:ascii="Arial" w:eastAsia="Arial" w:hAnsi="Arial" w:cs="Arial"/>
                <w:color w:val="000000"/>
                <w:sz w:val="19"/>
                <w:szCs w:val="19"/>
              </w:rPr>
              <w:t>1,77,893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82A1670" w14:textId="77777777" w:rsidR="00982051" w:rsidRDefault="00000000">
            <w:pPr>
              <w:jc w:val="center"/>
            </w:pPr>
            <w:r>
              <w:rPr>
                <w:rFonts w:ascii="Arial" w:eastAsia="Arial" w:hAnsi="Arial" w:cs="Arial"/>
                <w:color w:val="000000"/>
                <w:sz w:val="19"/>
                <w:szCs w:val="19"/>
              </w:rPr>
              <w:t>124.60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1AB9CB4" w14:textId="77777777" w:rsidR="00982051" w:rsidRDefault="00000000">
            <w:pPr>
              <w:jc w:val="center"/>
            </w:pPr>
            <w:r>
              <w:rPr>
                <w:rFonts w:ascii="Arial" w:eastAsia="Arial" w:hAnsi="Arial" w:cs="Arial"/>
                <w:color w:val="000000"/>
                <w:sz w:val="19"/>
                <w:szCs w:val="19"/>
              </w:rPr>
              <w:t>6,01,546</w:t>
            </w:r>
          </w:p>
        </w:tc>
      </w:tr>
    </w:tbl>
    <w:p w14:paraId="2ACB2973" w14:textId="77777777" w:rsidR="00982051" w:rsidRDefault="00982051">
      <w:pPr>
        <w:spacing w:before="60" w:after="60"/>
      </w:pPr>
    </w:p>
    <w:p w14:paraId="4F01DBE5" w14:textId="77777777" w:rsidR="00982051" w:rsidRDefault="00000000">
      <w:r>
        <w:rPr>
          <w:rFonts w:ascii="Arial" w:eastAsia="Arial" w:hAnsi="Arial" w:cs="Arial"/>
          <w:i/>
          <w:iCs/>
          <w:color w:val="888888"/>
          <w:sz w:val="18"/>
          <w:szCs w:val="18"/>
        </w:rPr>
        <w:t>Source: TCS Annual Reports FY2020–FY2024; Screener.in; BSE India</w:t>
      </w:r>
    </w:p>
    <w:p w14:paraId="155DC619" w14:textId="77777777" w:rsidR="00982051" w:rsidRDefault="00982051">
      <w:pPr>
        <w:spacing w:before="60" w:after="60"/>
      </w:pPr>
    </w:p>
    <w:p w14:paraId="498561C2" w14:textId="77777777" w:rsidR="00982051" w:rsidRDefault="00000000">
      <w:pPr>
        <w:spacing w:before="80" w:after="80"/>
        <w:jc w:val="both"/>
      </w:pPr>
      <w:r>
        <w:rPr>
          <w:rFonts w:ascii="Arial" w:eastAsia="Arial" w:hAnsi="Arial" w:cs="Arial"/>
          <w:sz w:val="22"/>
          <w:szCs w:val="22"/>
        </w:rPr>
        <w:t>As visible from the table, TCS has seen a clear and consistent upward trend in its Revenue, Operating Profit, and Net Profit over the five-year period. Despite global economic disruptions (including the COVID-19 pandemic in FY2020-21), TCS maintained growth momentum, underlining its financial resilience.</w:t>
      </w:r>
    </w:p>
    <w:p w14:paraId="1D041D8E" w14:textId="77777777" w:rsidR="00982051" w:rsidRDefault="00000000">
      <w:r>
        <w:br w:type="page"/>
      </w:r>
    </w:p>
    <w:p w14:paraId="41EE8E67"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6. Ratio Analysis</w:t>
      </w:r>
    </w:p>
    <w:p w14:paraId="77D9D9A2" w14:textId="77777777" w:rsidR="00982051" w:rsidRDefault="00000000">
      <w:pPr>
        <w:spacing w:before="80" w:after="80"/>
        <w:jc w:val="both"/>
      </w:pPr>
      <w:r>
        <w:rPr>
          <w:rFonts w:ascii="Arial" w:eastAsia="Arial" w:hAnsi="Arial" w:cs="Arial"/>
          <w:sz w:val="22"/>
          <w:szCs w:val="22"/>
        </w:rPr>
        <w:t>Ratio analysis is a quantitative tool used to evaluate the financial performance and efficiency of a company. The following ratios have been calculated for TCS over the 5-year period:</w:t>
      </w:r>
    </w:p>
    <w:p w14:paraId="7B7F2258" w14:textId="77777777" w:rsidR="00982051" w:rsidRDefault="00982051">
      <w:pPr>
        <w:spacing w:before="60" w:after="60"/>
      </w:pPr>
    </w:p>
    <w:p w14:paraId="57558BF8" w14:textId="77777777" w:rsidR="00982051" w:rsidRDefault="00000000">
      <w:pPr>
        <w:spacing w:before="200" w:after="80"/>
      </w:pPr>
      <w:r>
        <w:rPr>
          <w:rFonts w:ascii="Arial" w:eastAsia="Arial" w:hAnsi="Arial" w:cs="Arial"/>
          <w:b/>
          <w:bCs/>
          <w:color w:val="2E75B6"/>
          <w:sz w:val="26"/>
          <w:szCs w:val="26"/>
        </w:rPr>
        <w:t>6.1 Key Ratios and Formulas</w:t>
      </w:r>
    </w:p>
    <w:p w14:paraId="07E788A2" w14:textId="77777777" w:rsidR="00982051" w:rsidRDefault="00000000">
      <w:pPr>
        <w:pStyle w:val="ListParagraph"/>
        <w:numPr>
          <w:ilvl w:val="0"/>
          <w:numId w:val="2"/>
        </w:numPr>
        <w:spacing w:before="40" w:after="40"/>
      </w:pPr>
      <w:r>
        <w:rPr>
          <w:rFonts w:ascii="Arial" w:eastAsia="Arial" w:hAnsi="Arial" w:cs="Arial"/>
          <w:sz w:val="22"/>
          <w:szCs w:val="22"/>
        </w:rPr>
        <w:t>Net Profit Margin (%) = (Net Profit / Revenue) × 100</w:t>
      </w:r>
    </w:p>
    <w:p w14:paraId="587152AB" w14:textId="77777777" w:rsidR="00982051" w:rsidRDefault="00000000">
      <w:pPr>
        <w:pStyle w:val="ListParagraph"/>
        <w:numPr>
          <w:ilvl w:val="0"/>
          <w:numId w:val="2"/>
        </w:numPr>
        <w:spacing w:before="40" w:after="40"/>
      </w:pPr>
      <w:r>
        <w:rPr>
          <w:rFonts w:ascii="Arial" w:eastAsia="Arial" w:hAnsi="Arial" w:cs="Arial"/>
          <w:sz w:val="22"/>
          <w:szCs w:val="22"/>
        </w:rPr>
        <w:t>Operating Profit Margin (%) = (Operating Profit / Revenue) × 100</w:t>
      </w:r>
    </w:p>
    <w:p w14:paraId="0E7D3D38" w14:textId="77777777" w:rsidR="00982051" w:rsidRDefault="00000000">
      <w:pPr>
        <w:pStyle w:val="ListParagraph"/>
        <w:numPr>
          <w:ilvl w:val="0"/>
          <w:numId w:val="2"/>
        </w:numPr>
        <w:spacing w:before="40" w:after="40"/>
      </w:pPr>
      <w:r>
        <w:rPr>
          <w:rFonts w:ascii="Arial" w:eastAsia="Arial" w:hAnsi="Arial" w:cs="Arial"/>
          <w:sz w:val="22"/>
          <w:szCs w:val="22"/>
        </w:rPr>
        <w:t>Expense Ratio (%) = (Total Expenses / Revenue) × 100</w:t>
      </w:r>
    </w:p>
    <w:p w14:paraId="75A251AD" w14:textId="77777777" w:rsidR="00982051" w:rsidRDefault="00000000">
      <w:pPr>
        <w:pStyle w:val="ListParagraph"/>
        <w:numPr>
          <w:ilvl w:val="0"/>
          <w:numId w:val="2"/>
        </w:numPr>
        <w:spacing w:before="40" w:after="40"/>
      </w:pPr>
      <w:r>
        <w:rPr>
          <w:rFonts w:ascii="Arial" w:eastAsia="Arial" w:hAnsi="Arial" w:cs="Arial"/>
          <w:sz w:val="22"/>
          <w:szCs w:val="22"/>
        </w:rPr>
        <w:t>Revenue Growth Rate (%) = ((Current Year − Previous Year) / Previous Year) × 100</w:t>
      </w:r>
    </w:p>
    <w:p w14:paraId="6F244CDC" w14:textId="77777777" w:rsidR="00982051" w:rsidRDefault="00000000">
      <w:pPr>
        <w:pStyle w:val="ListParagraph"/>
        <w:numPr>
          <w:ilvl w:val="0"/>
          <w:numId w:val="2"/>
        </w:numPr>
        <w:spacing w:before="40" w:after="40"/>
      </w:pPr>
      <w:r>
        <w:rPr>
          <w:rFonts w:ascii="Arial" w:eastAsia="Arial" w:hAnsi="Arial" w:cs="Arial"/>
          <w:sz w:val="22"/>
          <w:szCs w:val="22"/>
        </w:rPr>
        <w:t>CAGR = (Ending Value / Beginning Value)^(1/n) − 1</w:t>
      </w:r>
    </w:p>
    <w:p w14:paraId="5EA58D3B" w14:textId="77777777" w:rsidR="00982051" w:rsidRDefault="00982051">
      <w:pPr>
        <w:spacing w:before="60" w:after="60"/>
      </w:pPr>
    </w:p>
    <w:p w14:paraId="1027ED46" w14:textId="77777777" w:rsidR="00982051" w:rsidRDefault="00000000">
      <w:pPr>
        <w:spacing w:before="200" w:after="80"/>
      </w:pPr>
      <w:r>
        <w:rPr>
          <w:rFonts w:ascii="Arial" w:eastAsia="Arial" w:hAnsi="Arial" w:cs="Arial"/>
          <w:b/>
          <w:bCs/>
          <w:color w:val="2E75B6"/>
          <w:sz w:val="26"/>
          <w:szCs w:val="26"/>
        </w:rPr>
        <w:t>6.2 Ratio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188"/>
        <w:gridCol w:w="1189"/>
        <w:gridCol w:w="1189"/>
        <w:gridCol w:w="1189"/>
        <w:gridCol w:w="1189"/>
        <w:gridCol w:w="866"/>
      </w:tblGrid>
      <w:tr w:rsidR="00982051" w14:paraId="7FACF23A"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66C64BED" w14:textId="77777777" w:rsidR="00982051" w:rsidRDefault="00000000">
            <w:pPr>
              <w:jc w:val="center"/>
            </w:pPr>
            <w:r>
              <w:rPr>
                <w:rFonts w:ascii="Arial" w:eastAsia="Arial" w:hAnsi="Arial" w:cs="Arial"/>
                <w:b/>
                <w:bCs/>
                <w:color w:val="FFFFFF"/>
                <w:sz w:val="18"/>
                <w:szCs w:val="18"/>
              </w:rPr>
              <w:t>Ratio / Metric</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605BB776" w14:textId="77777777" w:rsidR="00982051" w:rsidRDefault="00000000">
            <w:pPr>
              <w:jc w:val="center"/>
            </w:pPr>
            <w:r>
              <w:rPr>
                <w:rFonts w:ascii="Arial" w:eastAsia="Arial" w:hAnsi="Arial" w:cs="Arial"/>
                <w:b/>
                <w:bCs/>
                <w:color w:val="FFFFFF"/>
                <w:sz w:val="18"/>
                <w:szCs w:val="18"/>
              </w:rPr>
              <w:t>FY20</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399A0714" w14:textId="77777777" w:rsidR="00982051" w:rsidRDefault="00000000">
            <w:pPr>
              <w:jc w:val="center"/>
            </w:pPr>
            <w:r>
              <w:rPr>
                <w:rFonts w:ascii="Arial" w:eastAsia="Arial" w:hAnsi="Arial" w:cs="Arial"/>
                <w:b/>
                <w:bCs/>
                <w:color w:val="FFFFFF"/>
                <w:sz w:val="18"/>
                <w:szCs w:val="18"/>
              </w:rPr>
              <w:t>FY21</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650E629B" w14:textId="77777777" w:rsidR="00982051" w:rsidRDefault="00000000">
            <w:pPr>
              <w:jc w:val="center"/>
            </w:pPr>
            <w:r>
              <w:rPr>
                <w:rFonts w:ascii="Arial" w:eastAsia="Arial" w:hAnsi="Arial" w:cs="Arial"/>
                <w:b/>
                <w:bCs/>
                <w:color w:val="FFFFFF"/>
                <w:sz w:val="18"/>
                <w:szCs w:val="18"/>
              </w:rPr>
              <w:t>FY22</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73E9B410" w14:textId="77777777" w:rsidR="00982051" w:rsidRDefault="00000000">
            <w:pPr>
              <w:jc w:val="center"/>
            </w:pPr>
            <w:r>
              <w:rPr>
                <w:rFonts w:ascii="Arial" w:eastAsia="Arial" w:hAnsi="Arial" w:cs="Arial"/>
                <w:b/>
                <w:bCs/>
                <w:color w:val="FFFFFF"/>
                <w:sz w:val="18"/>
                <w:szCs w:val="18"/>
              </w:rPr>
              <w:t>FY23</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67ADCF42" w14:textId="77777777" w:rsidR="00982051" w:rsidRDefault="00000000">
            <w:pPr>
              <w:jc w:val="center"/>
            </w:pPr>
            <w:r>
              <w:rPr>
                <w:rFonts w:ascii="Arial" w:eastAsia="Arial" w:hAnsi="Arial" w:cs="Arial"/>
                <w:b/>
                <w:bCs/>
                <w:color w:val="FFFFFF"/>
                <w:sz w:val="18"/>
                <w:szCs w:val="18"/>
              </w:rPr>
              <w:t>FY24</w:t>
            </w:r>
          </w:p>
        </w:tc>
        <w:tc>
          <w:tcPr>
            <w:tcW w:w="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11F50426" w14:textId="77777777" w:rsidR="00982051" w:rsidRDefault="00000000">
            <w:pPr>
              <w:jc w:val="center"/>
            </w:pPr>
            <w:r>
              <w:rPr>
                <w:rFonts w:ascii="Arial" w:eastAsia="Arial" w:hAnsi="Arial" w:cs="Arial"/>
                <w:b/>
                <w:bCs/>
                <w:color w:val="FFFFFF"/>
                <w:sz w:val="18"/>
                <w:szCs w:val="18"/>
              </w:rPr>
              <w:t>Trend</w:t>
            </w:r>
          </w:p>
        </w:tc>
      </w:tr>
      <w:tr w:rsidR="00982051" w14:paraId="027A4D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8D5A5C4" w14:textId="77777777" w:rsidR="00982051" w:rsidRDefault="00000000">
            <w:r>
              <w:rPr>
                <w:rFonts w:ascii="Arial" w:eastAsia="Arial" w:hAnsi="Arial" w:cs="Arial"/>
                <w:b/>
                <w:bCs/>
                <w:color w:val="000000"/>
                <w:sz w:val="19"/>
                <w:szCs w:val="19"/>
              </w:rPr>
              <w:t>Net Profit Margin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7450C13" w14:textId="77777777" w:rsidR="00982051" w:rsidRDefault="00000000">
            <w:pPr>
              <w:jc w:val="center"/>
            </w:pPr>
            <w:r>
              <w:rPr>
                <w:rFonts w:ascii="Arial" w:eastAsia="Arial" w:hAnsi="Arial" w:cs="Arial"/>
                <w:color w:val="000000"/>
                <w:sz w:val="19"/>
                <w:szCs w:val="19"/>
              </w:rPr>
              <w:t>20.66%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EECED67" w14:textId="77777777" w:rsidR="00982051" w:rsidRDefault="00000000">
            <w:pPr>
              <w:jc w:val="center"/>
            </w:pPr>
            <w:r>
              <w:rPr>
                <w:rFonts w:ascii="Arial" w:eastAsia="Arial" w:hAnsi="Arial" w:cs="Arial"/>
                <w:color w:val="000000"/>
                <w:sz w:val="19"/>
                <w:szCs w:val="19"/>
              </w:rPr>
              <w:t>20.34%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25C3A40" w14:textId="77777777" w:rsidR="00982051" w:rsidRDefault="00000000">
            <w:pPr>
              <w:jc w:val="center"/>
            </w:pPr>
            <w:r>
              <w:rPr>
                <w:rFonts w:ascii="Arial" w:eastAsia="Arial" w:hAnsi="Arial" w:cs="Arial"/>
                <w:color w:val="000000"/>
                <w:sz w:val="19"/>
                <w:szCs w:val="19"/>
              </w:rPr>
              <w:t>19.99%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73354B6" w14:textId="77777777" w:rsidR="00982051" w:rsidRDefault="00000000">
            <w:pPr>
              <w:jc w:val="center"/>
            </w:pPr>
            <w:r>
              <w:rPr>
                <w:rFonts w:ascii="Arial" w:eastAsia="Arial" w:hAnsi="Arial" w:cs="Arial"/>
                <w:color w:val="000000"/>
                <w:sz w:val="19"/>
                <w:szCs w:val="19"/>
              </w:rPr>
              <w:t>18.69%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7458B14" w14:textId="77777777" w:rsidR="00982051" w:rsidRDefault="00000000">
            <w:pPr>
              <w:jc w:val="center"/>
            </w:pPr>
            <w:r>
              <w:rPr>
                <w:rFonts w:ascii="Arial" w:eastAsia="Arial" w:hAnsi="Arial" w:cs="Arial"/>
                <w:color w:val="000000"/>
                <w:sz w:val="19"/>
                <w:szCs w:val="19"/>
              </w:rPr>
              <w:t>19.13%</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1F5819D" w14:textId="77777777" w:rsidR="00982051" w:rsidRDefault="00000000">
            <w:pPr>
              <w:jc w:val="center"/>
            </w:pPr>
            <w:r>
              <w:rPr>
                <w:rFonts w:ascii="Arial" w:eastAsia="Arial" w:hAnsi="Arial" w:cs="Arial"/>
                <w:color w:val="00B050"/>
                <w:sz w:val="19"/>
                <w:szCs w:val="19"/>
              </w:rPr>
              <w:t>Stable ✓</w:t>
            </w:r>
          </w:p>
        </w:tc>
      </w:tr>
      <w:tr w:rsidR="00982051" w14:paraId="744B034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90BB05F" w14:textId="77777777" w:rsidR="00982051" w:rsidRDefault="00000000">
            <w:r>
              <w:rPr>
                <w:rFonts w:ascii="Arial" w:eastAsia="Arial" w:hAnsi="Arial" w:cs="Arial"/>
                <w:b/>
                <w:bCs/>
                <w:color w:val="000000"/>
                <w:sz w:val="19"/>
                <w:szCs w:val="19"/>
              </w:rPr>
              <w:t>Operating Profit Margin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407A065A" w14:textId="77777777" w:rsidR="00982051" w:rsidRDefault="00000000">
            <w:pPr>
              <w:jc w:val="center"/>
            </w:pPr>
            <w:r>
              <w:rPr>
                <w:rFonts w:ascii="Arial" w:eastAsia="Arial" w:hAnsi="Arial" w:cs="Arial"/>
                <w:color w:val="000000"/>
                <w:sz w:val="19"/>
                <w:szCs w:val="19"/>
              </w:rPr>
              <w:t>24.42%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452935F" w14:textId="77777777" w:rsidR="00982051" w:rsidRDefault="00000000">
            <w:pPr>
              <w:jc w:val="center"/>
            </w:pPr>
            <w:r>
              <w:rPr>
                <w:rFonts w:ascii="Arial" w:eastAsia="Arial" w:hAnsi="Arial" w:cs="Arial"/>
                <w:color w:val="000000"/>
                <w:sz w:val="19"/>
                <w:szCs w:val="19"/>
              </w:rPr>
              <w:t>25.41%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EEC73D7" w14:textId="77777777" w:rsidR="00982051" w:rsidRDefault="00000000">
            <w:pPr>
              <w:jc w:val="center"/>
            </w:pPr>
            <w:r>
              <w:rPr>
                <w:rFonts w:ascii="Arial" w:eastAsia="Arial" w:hAnsi="Arial" w:cs="Arial"/>
                <w:color w:val="000000"/>
                <w:sz w:val="19"/>
                <w:szCs w:val="19"/>
              </w:rPr>
              <w:t>24.85%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024A7CB" w14:textId="77777777" w:rsidR="00982051" w:rsidRDefault="00000000">
            <w:pPr>
              <w:jc w:val="center"/>
            </w:pPr>
            <w:r>
              <w:rPr>
                <w:rFonts w:ascii="Arial" w:eastAsia="Arial" w:hAnsi="Arial" w:cs="Arial"/>
                <w:color w:val="000000"/>
                <w:sz w:val="19"/>
                <w:szCs w:val="19"/>
              </w:rPr>
              <w:t>23.75%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945E26D" w14:textId="77777777" w:rsidR="00982051" w:rsidRDefault="00000000">
            <w:pPr>
              <w:jc w:val="center"/>
            </w:pPr>
            <w:r>
              <w:rPr>
                <w:rFonts w:ascii="Arial" w:eastAsia="Arial" w:hAnsi="Arial" w:cs="Arial"/>
                <w:color w:val="000000"/>
                <w:sz w:val="19"/>
                <w:szCs w:val="19"/>
              </w:rPr>
              <w:t>26.15%</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490C349B" w14:textId="77777777" w:rsidR="00982051" w:rsidRDefault="00000000">
            <w:pPr>
              <w:jc w:val="center"/>
            </w:pPr>
            <w:r>
              <w:rPr>
                <w:rFonts w:ascii="Arial" w:eastAsia="Arial" w:hAnsi="Arial" w:cs="Arial"/>
                <w:color w:val="00B050"/>
                <w:sz w:val="19"/>
                <w:szCs w:val="19"/>
              </w:rPr>
              <w:t>↑ Good</w:t>
            </w:r>
          </w:p>
        </w:tc>
      </w:tr>
      <w:tr w:rsidR="00982051" w14:paraId="2353A74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CCAE834" w14:textId="77777777" w:rsidR="00982051" w:rsidRDefault="00000000">
            <w:r>
              <w:rPr>
                <w:rFonts w:ascii="Arial" w:eastAsia="Arial" w:hAnsi="Arial" w:cs="Arial"/>
                <w:b/>
                <w:bCs/>
                <w:color w:val="000000"/>
                <w:sz w:val="19"/>
                <w:szCs w:val="19"/>
              </w:rPr>
              <w:t>Expense Ratio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F3B127F" w14:textId="77777777" w:rsidR="00982051" w:rsidRDefault="00000000">
            <w:pPr>
              <w:jc w:val="center"/>
            </w:pPr>
            <w:r>
              <w:rPr>
                <w:rFonts w:ascii="Arial" w:eastAsia="Arial" w:hAnsi="Arial" w:cs="Arial"/>
                <w:color w:val="000000"/>
                <w:sz w:val="19"/>
                <w:szCs w:val="19"/>
              </w:rPr>
              <w:t>75.58%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841527F" w14:textId="77777777" w:rsidR="00982051" w:rsidRDefault="00000000">
            <w:pPr>
              <w:jc w:val="center"/>
            </w:pPr>
            <w:r>
              <w:rPr>
                <w:rFonts w:ascii="Arial" w:eastAsia="Arial" w:hAnsi="Arial" w:cs="Arial"/>
                <w:color w:val="000000"/>
                <w:sz w:val="19"/>
                <w:szCs w:val="19"/>
              </w:rPr>
              <w:t>74.59%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D06D377" w14:textId="77777777" w:rsidR="00982051" w:rsidRDefault="00000000">
            <w:pPr>
              <w:jc w:val="center"/>
            </w:pPr>
            <w:r>
              <w:rPr>
                <w:rFonts w:ascii="Arial" w:eastAsia="Arial" w:hAnsi="Arial" w:cs="Arial"/>
                <w:color w:val="000000"/>
                <w:sz w:val="19"/>
                <w:szCs w:val="19"/>
              </w:rPr>
              <w:t>75.15%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9EB4356" w14:textId="77777777" w:rsidR="00982051" w:rsidRDefault="00000000">
            <w:pPr>
              <w:jc w:val="center"/>
            </w:pPr>
            <w:r>
              <w:rPr>
                <w:rFonts w:ascii="Arial" w:eastAsia="Arial" w:hAnsi="Arial" w:cs="Arial"/>
                <w:color w:val="000000"/>
                <w:sz w:val="19"/>
                <w:szCs w:val="19"/>
              </w:rPr>
              <w:t>76.25%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183228B" w14:textId="77777777" w:rsidR="00982051" w:rsidRDefault="00000000">
            <w:pPr>
              <w:jc w:val="center"/>
            </w:pPr>
            <w:r>
              <w:rPr>
                <w:rFonts w:ascii="Arial" w:eastAsia="Arial" w:hAnsi="Arial" w:cs="Arial"/>
                <w:color w:val="000000"/>
                <w:sz w:val="19"/>
                <w:szCs w:val="19"/>
              </w:rPr>
              <w:t>73.85%</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ED10258" w14:textId="77777777" w:rsidR="00982051" w:rsidRDefault="00000000">
            <w:pPr>
              <w:jc w:val="center"/>
            </w:pPr>
            <w:r>
              <w:rPr>
                <w:rFonts w:ascii="Arial" w:eastAsia="Arial" w:hAnsi="Arial" w:cs="Arial"/>
                <w:color w:val="00B050"/>
                <w:sz w:val="19"/>
                <w:szCs w:val="19"/>
              </w:rPr>
              <w:t>↓ Better</w:t>
            </w:r>
          </w:p>
        </w:tc>
      </w:tr>
      <w:tr w:rsidR="00982051" w14:paraId="3B4847E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5B447F25" w14:textId="77777777" w:rsidR="00982051" w:rsidRDefault="00000000">
            <w:r>
              <w:rPr>
                <w:rFonts w:ascii="Arial" w:eastAsia="Arial" w:hAnsi="Arial" w:cs="Arial"/>
                <w:b/>
                <w:bCs/>
                <w:color w:val="000000"/>
                <w:sz w:val="19"/>
                <w:szCs w:val="19"/>
              </w:rPr>
              <w:t>Revenue Growth (YoY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6DCE850E" w14:textId="77777777" w:rsidR="00982051" w:rsidRDefault="00000000">
            <w:pPr>
              <w:jc w:val="center"/>
            </w:pPr>
            <w:r>
              <w:rPr>
                <w:rFonts w:ascii="Arial" w:eastAsia="Arial" w:hAnsi="Arial" w:cs="Arial"/>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6D36964" w14:textId="77777777" w:rsidR="00982051" w:rsidRDefault="00000000">
            <w:pPr>
              <w:jc w:val="center"/>
            </w:pPr>
            <w:r>
              <w:rPr>
                <w:rFonts w:ascii="Arial" w:eastAsia="Arial" w:hAnsi="Arial" w:cs="Arial"/>
                <w:color w:val="000000"/>
                <w:sz w:val="19"/>
                <w:szCs w:val="19"/>
              </w:rPr>
              <w:t>4.60%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177EEC2F" w14:textId="77777777" w:rsidR="00982051" w:rsidRDefault="00000000">
            <w:pPr>
              <w:jc w:val="center"/>
            </w:pPr>
            <w:r>
              <w:rPr>
                <w:rFonts w:ascii="Arial" w:eastAsia="Arial" w:hAnsi="Arial" w:cs="Arial"/>
                <w:color w:val="000000"/>
                <w:sz w:val="19"/>
                <w:szCs w:val="19"/>
              </w:rPr>
              <w:t>16.80%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B378C28" w14:textId="77777777" w:rsidR="00982051" w:rsidRDefault="00000000">
            <w:pPr>
              <w:jc w:val="center"/>
            </w:pPr>
            <w:r>
              <w:rPr>
                <w:rFonts w:ascii="Arial" w:eastAsia="Arial" w:hAnsi="Arial" w:cs="Arial"/>
                <w:color w:val="000000"/>
                <w:sz w:val="19"/>
                <w:szCs w:val="19"/>
              </w:rPr>
              <w:t>17.56%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1D08C681" w14:textId="77777777" w:rsidR="00982051" w:rsidRDefault="00000000">
            <w:pPr>
              <w:jc w:val="center"/>
            </w:pPr>
            <w:r>
              <w:rPr>
                <w:rFonts w:ascii="Arial" w:eastAsia="Arial" w:hAnsi="Arial" w:cs="Arial"/>
                <w:color w:val="000000"/>
                <w:sz w:val="19"/>
                <w:szCs w:val="19"/>
              </w:rPr>
              <w:t>6.84%</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4B412F5" w14:textId="77777777" w:rsidR="00982051" w:rsidRDefault="00000000">
            <w:pPr>
              <w:jc w:val="center"/>
            </w:pPr>
            <w:r>
              <w:rPr>
                <w:rFonts w:ascii="Arial" w:eastAsia="Arial" w:hAnsi="Arial" w:cs="Arial"/>
                <w:color w:val="00B050"/>
                <w:sz w:val="19"/>
                <w:szCs w:val="19"/>
              </w:rPr>
              <w:t>Steady</w:t>
            </w:r>
          </w:p>
        </w:tc>
      </w:tr>
      <w:tr w:rsidR="00982051" w14:paraId="3C3962C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EFA346A" w14:textId="77777777" w:rsidR="00982051" w:rsidRDefault="00000000">
            <w:r>
              <w:rPr>
                <w:rFonts w:ascii="Arial" w:eastAsia="Arial" w:hAnsi="Arial" w:cs="Arial"/>
                <w:b/>
                <w:bCs/>
                <w:color w:val="000000"/>
                <w:sz w:val="19"/>
                <w:szCs w:val="19"/>
              </w:rPr>
              <w:t>Net Profit Growth (YoY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FB9B0C2" w14:textId="77777777" w:rsidR="00982051" w:rsidRDefault="00000000">
            <w:pPr>
              <w:jc w:val="center"/>
            </w:pPr>
            <w:r>
              <w:rPr>
                <w:rFonts w:ascii="Arial" w:eastAsia="Arial" w:hAnsi="Arial" w:cs="Arial"/>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1BECBAE" w14:textId="77777777" w:rsidR="00982051" w:rsidRDefault="00000000">
            <w:pPr>
              <w:jc w:val="center"/>
            </w:pPr>
            <w:r>
              <w:rPr>
                <w:rFonts w:ascii="Arial" w:eastAsia="Arial" w:hAnsi="Arial" w:cs="Arial"/>
                <w:color w:val="000000"/>
                <w:sz w:val="19"/>
                <w:szCs w:val="19"/>
              </w:rPr>
              <w:t>2.96%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F98BDCF" w14:textId="77777777" w:rsidR="00982051" w:rsidRDefault="00000000">
            <w:pPr>
              <w:jc w:val="center"/>
            </w:pPr>
            <w:r>
              <w:rPr>
                <w:rFonts w:ascii="Arial" w:eastAsia="Arial" w:hAnsi="Arial" w:cs="Arial"/>
                <w:color w:val="000000"/>
                <w:sz w:val="19"/>
                <w:szCs w:val="19"/>
              </w:rPr>
              <w:t>14.79%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1B681BF" w14:textId="77777777" w:rsidR="00982051" w:rsidRDefault="00000000">
            <w:pPr>
              <w:jc w:val="center"/>
            </w:pPr>
            <w:r>
              <w:rPr>
                <w:rFonts w:ascii="Arial" w:eastAsia="Arial" w:hAnsi="Arial" w:cs="Arial"/>
                <w:color w:val="000000"/>
                <w:sz w:val="19"/>
                <w:szCs w:val="19"/>
              </w:rPr>
              <w:t>9.97%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19C442C" w14:textId="77777777" w:rsidR="00982051" w:rsidRDefault="00000000">
            <w:pPr>
              <w:jc w:val="center"/>
            </w:pPr>
            <w:r>
              <w:rPr>
                <w:rFonts w:ascii="Arial" w:eastAsia="Arial" w:hAnsi="Arial" w:cs="Arial"/>
                <w:color w:val="000000"/>
                <w:sz w:val="19"/>
                <w:szCs w:val="19"/>
              </w:rPr>
              <w:t>9.40%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2EFFFE9" w14:textId="77777777" w:rsidR="00982051" w:rsidRDefault="00000000">
            <w:pPr>
              <w:jc w:val="center"/>
            </w:pPr>
            <w:r>
              <w:rPr>
                <w:rFonts w:ascii="Arial" w:eastAsia="Arial" w:hAnsi="Arial" w:cs="Arial"/>
                <w:color w:val="00B050"/>
                <w:sz w:val="19"/>
                <w:szCs w:val="19"/>
              </w:rPr>
              <w:t>Positive</w:t>
            </w:r>
          </w:p>
        </w:tc>
      </w:tr>
      <w:tr w:rsidR="00982051" w14:paraId="4017525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08EB9DF" w14:textId="77777777" w:rsidR="00982051" w:rsidRDefault="00000000">
            <w:r>
              <w:rPr>
                <w:rFonts w:ascii="Arial" w:eastAsia="Arial" w:hAnsi="Arial" w:cs="Arial"/>
                <w:b/>
                <w:bCs/>
                <w:color w:val="000000"/>
                <w:sz w:val="19"/>
                <w:szCs w:val="19"/>
              </w:rPr>
              <w:t>EPS Growth (YoY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E7D4A1E" w14:textId="77777777" w:rsidR="00982051" w:rsidRDefault="00000000">
            <w:pPr>
              <w:jc w:val="center"/>
            </w:pPr>
            <w:r>
              <w:rPr>
                <w:rFonts w:ascii="Arial" w:eastAsia="Arial" w:hAnsi="Arial" w:cs="Arial"/>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7916440" w14:textId="77777777" w:rsidR="00982051" w:rsidRDefault="00000000">
            <w:pPr>
              <w:jc w:val="center"/>
            </w:pPr>
            <w:r>
              <w:rPr>
                <w:rFonts w:ascii="Arial" w:eastAsia="Arial" w:hAnsi="Arial" w:cs="Arial"/>
                <w:color w:val="000000"/>
                <w:sz w:val="19"/>
                <w:szCs w:val="19"/>
              </w:rPr>
              <w:t>7.78%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FBFBA4D" w14:textId="77777777" w:rsidR="00982051" w:rsidRDefault="00000000">
            <w:pPr>
              <w:jc w:val="center"/>
            </w:pPr>
            <w:r>
              <w:rPr>
                <w:rFonts w:ascii="Arial" w:eastAsia="Arial" w:hAnsi="Arial" w:cs="Arial"/>
                <w:color w:val="000000"/>
                <w:sz w:val="19"/>
                <w:szCs w:val="19"/>
              </w:rPr>
              <w:t>14.86%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495AE7A6" w14:textId="77777777" w:rsidR="00982051" w:rsidRDefault="00000000">
            <w:pPr>
              <w:jc w:val="center"/>
            </w:pPr>
            <w:r>
              <w:rPr>
                <w:rFonts w:ascii="Arial" w:eastAsia="Arial" w:hAnsi="Arial" w:cs="Arial"/>
                <w:color w:val="000000"/>
                <w:sz w:val="19"/>
                <w:szCs w:val="19"/>
              </w:rPr>
              <w:t>10.73%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F75B6AD" w14:textId="77777777" w:rsidR="00982051" w:rsidRDefault="00000000">
            <w:pPr>
              <w:jc w:val="center"/>
            </w:pPr>
            <w:r>
              <w:rPr>
                <w:rFonts w:ascii="Arial" w:eastAsia="Arial" w:hAnsi="Arial" w:cs="Arial"/>
                <w:color w:val="000000"/>
                <w:sz w:val="19"/>
                <w:szCs w:val="19"/>
              </w:rPr>
              <w:t>8.61%</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1EDEFDA" w14:textId="77777777" w:rsidR="00982051" w:rsidRDefault="00000000">
            <w:pPr>
              <w:jc w:val="center"/>
            </w:pPr>
            <w:r>
              <w:rPr>
                <w:rFonts w:ascii="Arial" w:eastAsia="Arial" w:hAnsi="Arial" w:cs="Arial"/>
                <w:color w:val="00B050"/>
                <w:sz w:val="19"/>
                <w:szCs w:val="19"/>
              </w:rPr>
              <w:t>↑ Strong</w:t>
            </w:r>
          </w:p>
        </w:tc>
      </w:tr>
      <w:tr w:rsidR="00982051" w14:paraId="5A11AFB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9BEACC5" w14:textId="77777777" w:rsidR="00982051" w:rsidRDefault="00000000">
            <w:r>
              <w:rPr>
                <w:rFonts w:ascii="Arial" w:eastAsia="Arial" w:hAnsi="Arial" w:cs="Arial"/>
                <w:b/>
                <w:bCs/>
                <w:color w:val="000000"/>
                <w:sz w:val="19"/>
                <w:szCs w:val="19"/>
              </w:rPr>
              <w:t>Revenue CAGR (4-yr)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2F6E141"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42C2C5D"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DAEDD01"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8614B72"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7985DAF" w14:textId="77777777" w:rsidR="00982051" w:rsidRDefault="00000000">
            <w:pPr>
              <w:jc w:val="center"/>
            </w:pPr>
            <w:r>
              <w:rPr>
                <w:rFonts w:ascii="Arial" w:eastAsia="Arial" w:hAnsi="Arial" w:cs="Arial"/>
                <w:color w:val="000000"/>
                <w:sz w:val="19"/>
                <w:szCs w:val="19"/>
              </w:rPr>
              <w:t>11.3%</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B4ED36C" w14:textId="77777777" w:rsidR="00982051" w:rsidRDefault="00000000">
            <w:pPr>
              <w:jc w:val="center"/>
            </w:pPr>
            <w:r>
              <w:rPr>
                <w:rFonts w:ascii="Arial" w:eastAsia="Arial" w:hAnsi="Arial" w:cs="Arial"/>
                <w:color w:val="00B050"/>
                <w:sz w:val="19"/>
                <w:szCs w:val="19"/>
              </w:rPr>
              <w:t>✓</w:t>
            </w:r>
          </w:p>
        </w:tc>
      </w:tr>
      <w:tr w:rsidR="00982051" w14:paraId="77CB75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38E3B38" w14:textId="77777777" w:rsidR="00982051" w:rsidRDefault="00000000">
            <w:r>
              <w:rPr>
                <w:rFonts w:ascii="Arial" w:eastAsia="Arial" w:hAnsi="Arial" w:cs="Arial"/>
                <w:b/>
                <w:bCs/>
                <w:color w:val="000000"/>
                <w:sz w:val="19"/>
                <w:szCs w:val="19"/>
              </w:rPr>
              <w:t>Net Profit CAGR (4-yr)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282C157"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5D3FF2F5"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9587E5D"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52F49C10"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D13E968" w14:textId="77777777" w:rsidR="00982051" w:rsidRDefault="00000000">
            <w:pPr>
              <w:jc w:val="center"/>
            </w:pPr>
            <w:r>
              <w:rPr>
                <w:rFonts w:ascii="Arial" w:eastAsia="Arial" w:hAnsi="Arial" w:cs="Arial"/>
                <w:color w:val="000000"/>
                <w:sz w:val="19"/>
                <w:szCs w:val="19"/>
              </w:rPr>
              <w:t>9.2%</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4FEDFB38" w14:textId="77777777" w:rsidR="00982051" w:rsidRDefault="00000000">
            <w:pPr>
              <w:jc w:val="center"/>
            </w:pPr>
            <w:r>
              <w:rPr>
                <w:rFonts w:ascii="Arial" w:eastAsia="Arial" w:hAnsi="Arial" w:cs="Arial"/>
                <w:color w:val="00B050"/>
                <w:sz w:val="19"/>
                <w:szCs w:val="19"/>
              </w:rPr>
              <w:t>✓</w:t>
            </w:r>
          </w:p>
        </w:tc>
      </w:tr>
    </w:tbl>
    <w:p w14:paraId="535EE7C7" w14:textId="77777777" w:rsidR="00982051" w:rsidRDefault="00982051">
      <w:pPr>
        <w:spacing w:before="60" w:after="60"/>
      </w:pPr>
    </w:p>
    <w:p w14:paraId="7AEEA61D" w14:textId="77777777" w:rsidR="00982051" w:rsidRDefault="00000000">
      <w:r>
        <w:rPr>
          <w:rFonts w:ascii="Arial" w:eastAsia="Arial" w:hAnsi="Arial" w:cs="Arial"/>
          <w:i/>
          <w:iCs/>
          <w:color w:val="888888"/>
          <w:sz w:val="18"/>
          <w:szCs w:val="18"/>
        </w:rPr>
        <w:t>Note: Calculated using financial data from TCS Annual Reports.</w:t>
      </w:r>
    </w:p>
    <w:p w14:paraId="3067AB29" w14:textId="77777777" w:rsidR="00982051" w:rsidRDefault="00000000">
      <w:r>
        <w:br w:type="page"/>
      </w:r>
    </w:p>
    <w:p w14:paraId="141E0ADB"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7. Graphical Representation</w:t>
      </w:r>
    </w:p>
    <w:p w14:paraId="5F93278F" w14:textId="77777777" w:rsidR="00982051" w:rsidRDefault="00000000">
      <w:pPr>
        <w:spacing w:before="80" w:after="80"/>
        <w:jc w:val="both"/>
      </w:pPr>
      <w:r>
        <w:rPr>
          <w:rFonts w:ascii="Arial" w:eastAsia="Arial" w:hAnsi="Arial" w:cs="Arial"/>
          <w:sz w:val="22"/>
          <w:szCs w:val="22"/>
        </w:rPr>
        <w:t>The following section describes the key charts created in the accompanying Excel workbook. These charts provide a visual understanding of TCS's financial trends.</w:t>
      </w:r>
    </w:p>
    <w:p w14:paraId="2B61750A" w14:textId="77777777" w:rsidR="00982051" w:rsidRDefault="00982051">
      <w:pPr>
        <w:spacing w:before="60" w:after="60"/>
      </w:pPr>
    </w:p>
    <w:p w14:paraId="54D3BD2D" w14:textId="77777777" w:rsidR="00982051" w:rsidRDefault="00000000">
      <w:pPr>
        <w:spacing w:before="200" w:after="80"/>
      </w:pPr>
      <w:r>
        <w:rPr>
          <w:rFonts w:ascii="Arial" w:eastAsia="Arial" w:hAnsi="Arial" w:cs="Arial"/>
          <w:b/>
          <w:bCs/>
          <w:color w:val="2E75B6"/>
          <w:sz w:val="26"/>
          <w:szCs w:val="26"/>
        </w:rPr>
        <w:t>Chart 1 – Revenue Trend (Bar Chart)</w:t>
      </w:r>
    </w:p>
    <w:p w14:paraId="5A0D3832" w14:textId="77777777" w:rsidR="00982051" w:rsidRDefault="00000000">
      <w:pPr>
        <w:spacing w:before="80" w:after="80"/>
        <w:jc w:val="both"/>
      </w:pPr>
      <w:r>
        <w:rPr>
          <w:rFonts w:ascii="Arial" w:eastAsia="Arial" w:hAnsi="Arial" w:cs="Arial"/>
          <w:sz w:val="22"/>
          <w:szCs w:val="22"/>
        </w:rPr>
        <w:t>A bar chart plotting TCS's annual revenue from FY20 to FY24. The chart clearly shows a consistent upward trajectory — from ₹1,56,949 Crores in FY20 to ₹2,40,893 Crores in FY24. Revenue grew steadily even during the pandemic year, reflecting TCS's strong client relationships and diversified service portfolio.</w:t>
      </w:r>
    </w:p>
    <w:p w14:paraId="4831AFA1" w14:textId="77777777" w:rsidR="00982051" w:rsidRDefault="00982051">
      <w:pPr>
        <w:spacing w:before="60" w:after="60"/>
      </w:pPr>
    </w:p>
    <w:p w14:paraId="352B88AF" w14:textId="77777777" w:rsidR="00982051" w:rsidRDefault="00000000">
      <w:pPr>
        <w:spacing w:before="200" w:after="80"/>
      </w:pPr>
      <w:r>
        <w:rPr>
          <w:rFonts w:ascii="Arial" w:eastAsia="Arial" w:hAnsi="Arial" w:cs="Arial"/>
          <w:b/>
          <w:bCs/>
          <w:color w:val="2E75B6"/>
          <w:sz w:val="26"/>
          <w:szCs w:val="26"/>
        </w:rPr>
        <w:t>Chart 2 – Net Profit Trend (Line Chart)</w:t>
      </w:r>
    </w:p>
    <w:p w14:paraId="62276934" w14:textId="77777777" w:rsidR="00982051" w:rsidRDefault="00000000">
      <w:pPr>
        <w:spacing w:before="80" w:after="80"/>
        <w:jc w:val="both"/>
      </w:pPr>
      <w:r>
        <w:rPr>
          <w:rFonts w:ascii="Arial" w:eastAsia="Arial" w:hAnsi="Arial" w:cs="Arial"/>
          <w:sz w:val="22"/>
          <w:szCs w:val="22"/>
        </w:rPr>
        <w:t>A line chart showing the year-on-year Net Profit from FY20 to FY24. Net Profit grew from ₹32,430 Crores to ₹46,099 Crores over the period, with no year recording a decline. The consistent upward slope reflects robust profitability management.</w:t>
      </w:r>
    </w:p>
    <w:p w14:paraId="1CFBE29C" w14:textId="77777777" w:rsidR="00982051" w:rsidRDefault="00982051">
      <w:pPr>
        <w:spacing w:before="60" w:after="60"/>
      </w:pPr>
    </w:p>
    <w:p w14:paraId="063131AC" w14:textId="77777777" w:rsidR="00982051" w:rsidRDefault="00000000">
      <w:pPr>
        <w:spacing w:before="200" w:after="80"/>
      </w:pPr>
      <w:r>
        <w:rPr>
          <w:rFonts w:ascii="Arial" w:eastAsia="Arial" w:hAnsi="Arial" w:cs="Arial"/>
          <w:b/>
          <w:bCs/>
          <w:color w:val="2E75B6"/>
          <w:sz w:val="26"/>
          <w:szCs w:val="26"/>
        </w:rPr>
        <w:t>Chart 3 – Revenue vs. Operating Profit vs. Net Profit (Clustered Bar)</w:t>
      </w:r>
    </w:p>
    <w:p w14:paraId="284B5366" w14:textId="77777777" w:rsidR="00982051" w:rsidRDefault="00000000">
      <w:pPr>
        <w:spacing w:before="80" w:after="80"/>
        <w:jc w:val="both"/>
      </w:pPr>
      <w:r>
        <w:rPr>
          <w:rFonts w:ascii="Arial" w:eastAsia="Arial" w:hAnsi="Arial" w:cs="Arial"/>
          <w:sz w:val="22"/>
          <w:szCs w:val="22"/>
        </w:rPr>
        <w:t>A clustered bar chart comparing all three key profit metrics side by side for each year. This helps visualize the relationship between revenue growth and profit generation. The gap between revenue and total expenses (represented by the profit bars) has widened over time, indicating improving efficiency.</w:t>
      </w:r>
    </w:p>
    <w:p w14:paraId="6CCB4792" w14:textId="77777777" w:rsidR="00982051" w:rsidRDefault="00982051">
      <w:pPr>
        <w:spacing w:before="60" w:after="60"/>
      </w:pPr>
    </w:p>
    <w:p w14:paraId="4D858BDF" w14:textId="77777777" w:rsidR="00982051" w:rsidRDefault="00000000">
      <w:pPr>
        <w:spacing w:before="80" w:after="80"/>
        <w:jc w:val="both"/>
      </w:pPr>
      <w:r>
        <w:rPr>
          <w:rFonts w:ascii="Arial" w:eastAsia="Arial" w:hAnsi="Arial" w:cs="Arial"/>
          <w:sz w:val="22"/>
          <w:szCs w:val="22"/>
        </w:rPr>
        <w:t>Please refer to the attached Excel file (Sheet: Graphical Analysis) to view the actual charts with full formatting and data labels.</w:t>
      </w:r>
    </w:p>
    <w:p w14:paraId="1753D024" w14:textId="77777777" w:rsidR="00982051" w:rsidRDefault="00000000">
      <w:r>
        <w:br w:type="page"/>
      </w:r>
    </w:p>
    <w:p w14:paraId="0564BEA9"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8. Key Findings &amp; Interpretation</w:t>
      </w:r>
    </w:p>
    <w:p w14:paraId="04F31B1C" w14:textId="77777777" w:rsidR="00982051" w:rsidRDefault="00000000">
      <w:pPr>
        <w:spacing w:before="200" w:after="80"/>
      </w:pPr>
      <w:r>
        <w:rPr>
          <w:rFonts w:ascii="Arial" w:eastAsia="Arial" w:hAnsi="Arial" w:cs="Arial"/>
          <w:b/>
          <w:bCs/>
          <w:color w:val="2E75B6"/>
          <w:sz w:val="26"/>
          <w:szCs w:val="26"/>
        </w:rPr>
        <w:t>Finding 1 – Revenue Shows Strong Growth</w:t>
      </w:r>
    </w:p>
    <w:p w14:paraId="7D63C01C" w14:textId="77777777" w:rsidR="00982051" w:rsidRDefault="00000000">
      <w:pPr>
        <w:spacing w:before="80" w:after="80"/>
        <w:jc w:val="both"/>
      </w:pPr>
      <w:r>
        <w:rPr>
          <w:rFonts w:ascii="Arial" w:eastAsia="Arial" w:hAnsi="Arial" w:cs="Arial"/>
          <w:sz w:val="22"/>
          <w:szCs w:val="22"/>
        </w:rPr>
        <w:t>TCS revenue grew from ₹1,56,949 Crores in FY2019-20 to ₹2,40,893 Crores in FY2023-24, recording a 4-year CAGR of approximately 11.3%. Even during FY2020-21 (COVID year), TCS recorded positive revenue growth of 4.6%, showcasing its resilience. The highest single-year growth occurred in FY2021-22 at 16.8%, driven by accelerated digital transformation demand globally.</w:t>
      </w:r>
    </w:p>
    <w:p w14:paraId="76CDE230" w14:textId="77777777" w:rsidR="00982051" w:rsidRDefault="00000000">
      <w:pPr>
        <w:spacing w:before="200" w:after="80"/>
      </w:pPr>
      <w:r>
        <w:rPr>
          <w:rFonts w:ascii="Arial" w:eastAsia="Arial" w:hAnsi="Arial" w:cs="Arial"/>
          <w:b/>
          <w:bCs/>
          <w:color w:val="2E75B6"/>
          <w:sz w:val="26"/>
          <w:szCs w:val="26"/>
        </w:rPr>
        <w:t>Finding 2 – Net Profit Growth is Consistent</w:t>
      </w:r>
    </w:p>
    <w:p w14:paraId="536B3A8E" w14:textId="77777777" w:rsidR="00982051" w:rsidRDefault="00000000">
      <w:pPr>
        <w:spacing w:before="80" w:after="80"/>
        <w:jc w:val="both"/>
      </w:pPr>
      <w:r>
        <w:rPr>
          <w:rFonts w:ascii="Arial" w:eastAsia="Arial" w:hAnsi="Arial" w:cs="Arial"/>
          <w:sz w:val="22"/>
          <w:szCs w:val="22"/>
        </w:rPr>
        <w:t>Net Profit increased from ₹32,430 Crores to ₹46,099 Crores, with a 4-year CAGR of ~9.2%. Every year recorded positive growth, with no single year of profit decline. This demonstrates stable earnings management and strong demand for TCS services worldwide.</w:t>
      </w:r>
    </w:p>
    <w:p w14:paraId="53B241CF" w14:textId="77777777" w:rsidR="00982051" w:rsidRDefault="00000000">
      <w:pPr>
        <w:spacing w:before="200" w:after="80"/>
      </w:pPr>
      <w:r>
        <w:rPr>
          <w:rFonts w:ascii="Arial" w:eastAsia="Arial" w:hAnsi="Arial" w:cs="Arial"/>
          <w:b/>
          <w:bCs/>
          <w:color w:val="2E75B6"/>
          <w:sz w:val="26"/>
          <w:szCs w:val="26"/>
        </w:rPr>
        <w:t>Finding 3 – Profit Margins are Healthy and Stable</w:t>
      </w:r>
    </w:p>
    <w:p w14:paraId="78939570" w14:textId="77777777" w:rsidR="00982051" w:rsidRDefault="00000000">
      <w:pPr>
        <w:spacing w:before="80" w:after="80"/>
        <w:jc w:val="both"/>
      </w:pPr>
      <w:r>
        <w:rPr>
          <w:rFonts w:ascii="Arial" w:eastAsia="Arial" w:hAnsi="Arial" w:cs="Arial"/>
          <w:sz w:val="22"/>
          <w:szCs w:val="22"/>
        </w:rPr>
        <w:t>Net Profit Margin remained consistently in the 18.7%–20.7% range across all five years, which is exceptionally strong for an IT services company. Operating Profit Margin improved from 24.4% in FY20 to 26.2% in FY24, reflecting gains in operational efficiency and cost management.</w:t>
      </w:r>
    </w:p>
    <w:p w14:paraId="50D8D176" w14:textId="77777777" w:rsidR="00982051" w:rsidRDefault="00000000">
      <w:pPr>
        <w:spacing w:before="200" w:after="80"/>
      </w:pPr>
      <w:r>
        <w:rPr>
          <w:rFonts w:ascii="Arial" w:eastAsia="Arial" w:hAnsi="Arial" w:cs="Arial"/>
          <w:b/>
          <w:bCs/>
          <w:color w:val="2E75B6"/>
          <w:sz w:val="26"/>
          <w:szCs w:val="26"/>
        </w:rPr>
        <w:t>Finding 4 – Expense Control is Effective</w:t>
      </w:r>
    </w:p>
    <w:p w14:paraId="28E88BBD" w14:textId="77777777" w:rsidR="00982051" w:rsidRDefault="00000000">
      <w:pPr>
        <w:spacing w:before="80" w:after="80"/>
        <w:jc w:val="both"/>
      </w:pPr>
      <w:r>
        <w:rPr>
          <w:rFonts w:ascii="Arial" w:eastAsia="Arial" w:hAnsi="Arial" w:cs="Arial"/>
          <w:sz w:val="22"/>
          <w:szCs w:val="22"/>
        </w:rPr>
        <w:t>Total Expenses rose from ₹1,18,622 Crores to ₹1,77,893 Crores, but the Expense Ratio (as % of revenue) improved from 75.6% in FY20 to 73.9% in FY24. This means TCS is generating more revenue per rupee of expense — a sign of operational leverage and scale benefits.</w:t>
      </w:r>
    </w:p>
    <w:p w14:paraId="7C458C67" w14:textId="77777777" w:rsidR="00982051" w:rsidRDefault="00000000">
      <w:pPr>
        <w:spacing w:before="200" w:after="80"/>
      </w:pPr>
      <w:r>
        <w:rPr>
          <w:rFonts w:ascii="Arial" w:eastAsia="Arial" w:hAnsi="Arial" w:cs="Arial"/>
          <w:b/>
          <w:bCs/>
          <w:color w:val="2E75B6"/>
          <w:sz w:val="26"/>
          <w:szCs w:val="26"/>
        </w:rPr>
        <w:t>Finding 5 – EPS Shows Shareholder Value Creation</w:t>
      </w:r>
    </w:p>
    <w:p w14:paraId="132834D8" w14:textId="77777777" w:rsidR="00982051" w:rsidRDefault="00000000">
      <w:pPr>
        <w:spacing w:before="80" w:after="80"/>
        <w:jc w:val="both"/>
      </w:pPr>
      <w:r>
        <w:rPr>
          <w:rFonts w:ascii="Arial" w:eastAsia="Arial" w:hAnsi="Arial" w:cs="Arial"/>
          <w:sz w:val="22"/>
          <w:szCs w:val="22"/>
        </w:rPr>
        <w:t>Earnings Per Share (EPS) grew from ₹83.68 in FY20 to ₹124.60 in FY24, a CAGR of approximately 10.4%. This consistent EPS growth, combined with TCS's strong dividend payout record, indicates consistent shareholder value creation.</w:t>
      </w:r>
    </w:p>
    <w:p w14:paraId="08800BD4" w14:textId="77777777" w:rsidR="00982051" w:rsidRDefault="00000000">
      <w:pPr>
        <w:spacing w:before="200" w:after="80"/>
      </w:pPr>
      <w:r>
        <w:rPr>
          <w:rFonts w:ascii="Arial" w:eastAsia="Arial" w:hAnsi="Arial" w:cs="Arial"/>
          <w:b/>
          <w:bCs/>
          <w:color w:val="2E75B6"/>
          <w:sz w:val="26"/>
          <w:szCs w:val="26"/>
        </w:rPr>
        <w:t>Finding 6 – Workforce Management</w:t>
      </w:r>
    </w:p>
    <w:p w14:paraId="335270D3" w14:textId="77777777" w:rsidR="00982051" w:rsidRDefault="00000000">
      <w:pPr>
        <w:spacing w:before="80" w:after="80"/>
        <w:jc w:val="both"/>
      </w:pPr>
      <w:r>
        <w:rPr>
          <w:rFonts w:ascii="Arial" w:eastAsia="Arial" w:hAnsi="Arial" w:cs="Arial"/>
          <w:sz w:val="22"/>
          <w:szCs w:val="22"/>
        </w:rPr>
        <w:t>Headcount grew rapidly from 4,48,464 in FY20 to a peak of 6,14,795 in FY23 as TCS hired aggressively to meet demand. In FY24, headcount declined slightly to 6,01,546, reflecting a recalibration strategy. Despite this, profitability metrics continued to improve, suggesting better revenue per employee.</w:t>
      </w:r>
    </w:p>
    <w:p w14:paraId="7CBF19F4" w14:textId="77777777" w:rsidR="00982051" w:rsidRDefault="00000000">
      <w:r>
        <w:br w:type="page"/>
      </w:r>
    </w:p>
    <w:p w14:paraId="4A539489"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9. Conclusion</w:t>
      </w:r>
    </w:p>
    <w:p w14:paraId="03761F05" w14:textId="77777777" w:rsidR="00982051" w:rsidRDefault="00000000">
      <w:pPr>
        <w:spacing w:before="80" w:after="80"/>
        <w:jc w:val="both"/>
      </w:pPr>
      <w:r>
        <w:rPr>
          <w:rFonts w:ascii="Arial" w:eastAsia="Arial" w:hAnsi="Arial" w:cs="Arial"/>
          <w:sz w:val="22"/>
          <w:szCs w:val="22"/>
        </w:rPr>
        <w:t>The five-year profit analysis of Tata Consultancy Services Limited reveals that the company has maintained a strong, stable, and growing financial trajectory from FY 2019-20 to FY 2023-24. Key highlights include:</w:t>
      </w:r>
    </w:p>
    <w:p w14:paraId="6590AEB9" w14:textId="77777777" w:rsidR="00982051" w:rsidRDefault="00000000">
      <w:pPr>
        <w:pStyle w:val="ListParagraph"/>
        <w:numPr>
          <w:ilvl w:val="0"/>
          <w:numId w:val="2"/>
        </w:numPr>
        <w:spacing w:before="40" w:after="40"/>
      </w:pPr>
      <w:r>
        <w:rPr>
          <w:rFonts w:ascii="Arial" w:eastAsia="Arial" w:hAnsi="Arial" w:cs="Arial"/>
          <w:sz w:val="22"/>
          <w:szCs w:val="22"/>
        </w:rPr>
        <w:t>Revenue grew at a CAGR of ~11.3%, reaching ₹2,40,893 Crores in FY24.</w:t>
      </w:r>
    </w:p>
    <w:p w14:paraId="7A8BD9FA" w14:textId="77777777" w:rsidR="00982051" w:rsidRDefault="00000000">
      <w:pPr>
        <w:pStyle w:val="ListParagraph"/>
        <w:numPr>
          <w:ilvl w:val="0"/>
          <w:numId w:val="2"/>
        </w:numPr>
        <w:spacing w:before="40" w:after="40"/>
      </w:pPr>
      <w:r>
        <w:rPr>
          <w:rFonts w:ascii="Arial" w:eastAsia="Arial" w:hAnsi="Arial" w:cs="Arial"/>
          <w:sz w:val="22"/>
          <w:szCs w:val="22"/>
        </w:rPr>
        <w:t>Net Profit grew at a CAGR of ~9.2%, reaching ₹46,099 Crores in FY24.</w:t>
      </w:r>
    </w:p>
    <w:p w14:paraId="623645CD" w14:textId="77777777" w:rsidR="00982051" w:rsidRDefault="00000000">
      <w:pPr>
        <w:pStyle w:val="ListParagraph"/>
        <w:numPr>
          <w:ilvl w:val="0"/>
          <w:numId w:val="2"/>
        </w:numPr>
        <w:spacing w:before="40" w:after="40"/>
      </w:pPr>
      <w:r>
        <w:rPr>
          <w:rFonts w:ascii="Arial" w:eastAsia="Arial" w:hAnsi="Arial" w:cs="Arial"/>
          <w:sz w:val="22"/>
          <w:szCs w:val="22"/>
        </w:rPr>
        <w:t>Profit margins remained consistently healthy — Net Profit Margin at ~19% and Operating Profit Margin at ~24–26%.</w:t>
      </w:r>
    </w:p>
    <w:p w14:paraId="5720BE96" w14:textId="77777777" w:rsidR="00982051" w:rsidRDefault="00000000">
      <w:pPr>
        <w:pStyle w:val="ListParagraph"/>
        <w:numPr>
          <w:ilvl w:val="0"/>
          <w:numId w:val="2"/>
        </w:numPr>
        <w:spacing w:before="40" w:after="40"/>
      </w:pPr>
      <w:r>
        <w:rPr>
          <w:rFonts w:ascii="Arial" w:eastAsia="Arial" w:hAnsi="Arial" w:cs="Arial"/>
          <w:sz w:val="22"/>
          <w:szCs w:val="22"/>
        </w:rPr>
        <w:t>Expense control improved, with the Expense Ratio declining from 75.6% to 73.9%.</w:t>
      </w:r>
    </w:p>
    <w:p w14:paraId="1E3C56AA" w14:textId="77777777" w:rsidR="00982051" w:rsidRDefault="00000000">
      <w:pPr>
        <w:pStyle w:val="ListParagraph"/>
        <w:numPr>
          <w:ilvl w:val="0"/>
          <w:numId w:val="2"/>
        </w:numPr>
        <w:spacing w:before="40" w:after="40"/>
      </w:pPr>
      <w:r>
        <w:rPr>
          <w:rFonts w:ascii="Arial" w:eastAsia="Arial" w:hAnsi="Arial" w:cs="Arial"/>
          <w:sz w:val="22"/>
          <w:szCs w:val="22"/>
        </w:rPr>
        <w:t>EPS grew from ₹83.68 to ₹124.60, creating sustained shareholder value.</w:t>
      </w:r>
    </w:p>
    <w:p w14:paraId="0BD566E4" w14:textId="77777777" w:rsidR="00982051" w:rsidRDefault="00982051">
      <w:pPr>
        <w:spacing w:before="60" w:after="60"/>
      </w:pPr>
    </w:p>
    <w:p w14:paraId="14D8F5F9" w14:textId="77777777" w:rsidR="00982051" w:rsidRDefault="00000000">
      <w:pPr>
        <w:spacing w:before="80" w:after="80"/>
        <w:jc w:val="both"/>
      </w:pPr>
      <w:r>
        <w:rPr>
          <w:rFonts w:ascii="Arial" w:eastAsia="Arial" w:hAnsi="Arial" w:cs="Arial"/>
          <w:sz w:val="22"/>
          <w:szCs w:val="22"/>
        </w:rPr>
        <w:t>Despite global headwinds including the COVID-19 pandemic and macroeconomic uncertainties in 2022-23, TCS demonstrated remarkable financial resilience. Its diversified client base, broad geographic presence, and strong delivery capabilities position it as one of the most financially sound IT companies in the world.</w:t>
      </w:r>
    </w:p>
    <w:p w14:paraId="62610D53" w14:textId="77777777" w:rsidR="00982051" w:rsidRDefault="00000000">
      <w:pPr>
        <w:spacing w:before="80" w:after="80"/>
        <w:jc w:val="both"/>
      </w:pPr>
      <w:r>
        <w:rPr>
          <w:rFonts w:ascii="Arial" w:eastAsia="Arial" w:hAnsi="Arial" w:cs="Arial"/>
          <w:sz w:val="22"/>
          <w:szCs w:val="22"/>
        </w:rPr>
        <w:t>This analysis confirms that TCS is not only profitable but also highly efficient in managing its costs and generating returns for shareholders. The company serves as an excellent benchmark for studying profitability analysis in the Indian IT sector.</w:t>
      </w:r>
    </w:p>
    <w:p w14:paraId="40490803" w14:textId="77777777" w:rsidR="00982051" w:rsidRDefault="00982051">
      <w:pPr>
        <w:spacing w:before="60" w:after="60"/>
      </w:pPr>
    </w:p>
    <w:p w14:paraId="4CC53348" w14:textId="77777777" w:rsidR="00982051" w:rsidRDefault="00000000">
      <w:pPr>
        <w:pBdr>
          <w:bottom w:val="single" w:sz="6" w:space="1" w:color="2E75B6"/>
        </w:pBdr>
        <w:spacing w:before="280" w:after="120"/>
      </w:pPr>
      <w:r>
        <w:rPr>
          <w:rFonts w:ascii="Arial" w:eastAsia="Arial" w:hAnsi="Arial" w:cs="Arial"/>
          <w:b/>
          <w:bCs/>
          <w:color w:val="1F4E79"/>
          <w:sz w:val="32"/>
          <w:szCs w:val="32"/>
        </w:rPr>
        <w:t>10. References</w:t>
      </w:r>
    </w:p>
    <w:p w14:paraId="444D22FA" w14:textId="77777777" w:rsidR="00982051" w:rsidRDefault="00000000">
      <w:pPr>
        <w:pStyle w:val="ListParagraph"/>
        <w:numPr>
          <w:ilvl w:val="0"/>
          <w:numId w:val="2"/>
        </w:numPr>
        <w:spacing w:before="40" w:after="40"/>
      </w:pPr>
      <w:r>
        <w:rPr>
          <w:rFonts w:ascii="Arial" w:eastAsia="Arial" w:hAnsi="Arial" w:cs="Arial"/>
          <w:sz w:val="22"/>
          <w:szCs w:val="22"/>
        </w:rPr>
        <w:t>TCS Annual Report 2023-24 — www.tcs.com/investor-relations</w:t>
      </w:r>
    </w:p>
    <w:p w14:paraId="5E43B825" w14:textId="77777777" w:rsidR="00982051" w:rsidRDefault="00000000">
      <w:pPr>
        <w:pStyle w:val="ListParagraph"/>
        <w:numPr>
          <w:ilvl w:val="0"/>
          <w:numId w:val="2"/>
        </w:numPr>
        <w:spacing w:before="40" w:after="40"/>
      </w:pPr>
      <w:r>
        <w:rPr>
          <w:rFonts w:ascii="Arial" w:eastAsia="Arial" w:hAnsi="Arial" w:cs="Arial"/>
          <w:sz w:val="22"/>
          <w:szCs w:val="22"/>
        </w:rPr>
        <w:t>TCS Annual Report 2022-23 — www.tcs.com/investor-relations</w:t>
      </w:r>
    </w:p>
    <w:p w14:paraId="66FC4FC9" w14:textId="77777777" w:rsidR="00982051" w:rsidRDefault="00000000">
      <w:pPr>
        <w:pStyle w:val="ListParagraph"/>
        <w:numPr>
          <w:ilvl w:val="0"/>
          <w:numId w:val="2"/>
        </w:numPr>
        <w:spacing w:before="40" w:after="40"/>
      </w:pPr>
      <w:r>
        <w:rPr>
          <w:rFonts w:ascii="Arial" w:eastAsia="Arial" w:hAnsi="Arial" w:cs="Arial"/>
          <w:sz w:val="22"/>
          <w:szCs w:val="22"/>
        </w:rPr>
        <w:t>TCS Annual Report 2021-22 — www.tcs.com/investor-relations</w:t>
      </w:r>
    </w:p>
    <w:p w14:paraId="788DC4E2" w14:textId="77777777" w:rsidR="00982051" w:rsidRDefault="00000000">
      <w:pPr>
        <w:pStyle w:val="ListParagraph"/>
        <w:numPr>
          <w:ilvl w:val="0"/>
          <w:numId w:val="2"/>
        </w:numPr>
        <w:spacing w:before="40" w:after="40"/>
      </w:pPr>
      <w:r>
        <w:rPr>
          <w:rFonts w:ascii="Arial" w:eastAsia="Arial" w:hAnsi="Arial" w:cs="Arial"/>
          <w:sz w:val="22"/>
          <w:szCs w:val="22"/>
        </w:rPr>
        <w:t>TCS Annual Report 2020-21 — www.tcs.com/investor-relations</w:t>
      </w:r>
    </w:p>
    <w:p w14:paraId="71C6FD65" w14:textId="77777777" w:rsidR="00982051" w:rsidRDefault="00000000">
      <w:pPr>
        <w:pStyle w:val="ListParagraph"/>
        <w:numPr>
          <w:ilvl w:val="0"/>
          <w:numId w:val="2"/>
        </w:numPr>
        <w:spacing w:before="40" w:after="40"/>
      </w:pPr>
      <w:r>
        <w:rPr>
          <w:rFonts w:ascii="Arial" w:eastAsia="Arial" w:hAnsi="Arial" w:cs="Arial"/>
          <w:sz w:val="22"/>
          <w:szCs w:val="22"/>
        </w:rPr>
        <w:t>TCS Annual Report 2019-20 — www.tcs.com/investor-relations</w:t>
      </w:r>
    </w:p>
    <w:p w14:paraId="79F41016" w14:textId="77777777" w:rsidR="00982051" w:rsidRDefault="00000000">
      <w:pPr>
        <w:pStyle w:val="ListParagraph"/>
        <w:numPr>
          <w:ilvl w:val="0"/>
          <w:numId w:val="2"/>
        </w:numPr>
        <w:spacing w:before="40" w:after="40"/>
      </w:pPr>
      <w:r>
        <w:rPr>
          <w:rFonts w:ascii="Arial" w:eastAsia="Arial" w:hAnsi="Arial" w:cs="Arial"/>
          <w:sz w:val="22"/>
          <w:szCs w:val="22"/>
        </w:rPr>
        <w:t>BSE India — www.bseindia.com (Company Code: 532540)</w:t>
      </w:r>
    </w:p>
    <w:p w14:paraId="231A1AB3" w14:textId="77777777" w:rsidR="00982051" w:rsidRDefault="00000000">
      <w:pPr>
        <w:pStyle w:val="ListParagraph"/>
        <w:numPr>
          <w:ilvl w:val="0"/>
          <w:numId w:val="2"/>
        </w:numPr>
        <w:spacing w:before="40" w:after="40"/>
      </w:pPr>
      <w:r>
        <w:rPr>
          <w:rFonts w:ascii="Arial" w:eastAsia="Arial" w:hAnsi="Arial" w:cs="Arial"/>
          <w:sz w:val="22"/>
          <w:szCs w:val="22"/>
        </w:rPr>
        <w:t>Screener.in — https://www.screener.in/company/TCS/consolidated/</w:t>
      </w:r>
    </w:p>
    <w:p w14:paraId="3B7EFE7F" w14:textId="77777777" w:rsidR="00982051" w:rsidRDefault="00000000">
      <w:pPr>
        <w:pStyle w:val="ListParagraph"/>
        <w:numPr>
          <w:ilvl w:val="0"/>
          <w:numId w:val="2"/>
        </w:numPr>
        <w:spacing w:before="40" w:after="40"/>
      </w:pPr>
      <w:proofErr w:type="spellStart"/>
      <w:r>
        <w:rPr>
          <w:rFonts w:ascii="Arial" w:eastAsia="Arial" w:hAnsi="Arial" w:cs="Arial"/>
          <w:sz w:val="22"/>
          <w:szCs w:val="22"/>
        </w:rPr>
        <w:t>Moneycontrol</w:t>
      </w:r>
      <w:proofErr w:type="spellEnd"/>
      <w:r>
        <w:rPr>
          <w:rFonts w:ascii="Arial" w:eastAsia="Arial" w:hAnsi="Arial" w:cs="Arial"/>
          <w:sz w:val="22"/>
          <w:szCs w:val="22"/>
        </w:rPr>
        <w:t xml:space="preserve"> — www.moneycontrol.com</w:t>
      </w:r>
    </w:p>
    <w:p w14:paraId="11F63431" w14:textId="77777777" w:rsidR="00982051" w:rsidRDefault="00000000">
      <w:pPr>
        <w:pStyle w:val="ListParagraph"/>
        <w:numPr>
          <w:ilvl w:val="0"/>
          <w:numId w:val="2"/>
        </w:numPr>
        <w:spacing w:before="40" w:after="40"/>
      </w:pPr>
      <w:r>
        <w:rPr>
          <w:rFonts w:ascii="Arial" w:eastAsia="Arial" w:hAnsi="Arial" w:cs="Arial"/>
          <w:sz w:val="22"/>
          <w:szCs w:val="22"/>
        </w:rPr>
        <w:t>Khan, M. Y. &amp; Jain, P. K. (2018). Financial Management. Tata McGraw-Hill Education.</w:t>
      </w:r>
    </w:p>
    <w:p w14:paraId="2D3CFE6A" w14:textId="77777777" w:rsidR="00982051" w:rsidRDefault="00000000">
      <w:pPr>
        <w:pStyle w:val="ListParagraph"/>
        <w:numPr>
          <w:ilvl w:val="0"/>
          <w:numId w:val="2"/>
        </w:numPr>
        <w:spacing w:before="40" w:after="40"/>
      </w:pPr>
      <w:r>
        <w:rPr>
          <w:rFonts w:ascii="Arial" w:eastAsia="Arial" w:hAnsi="Arial" w:cs="Arial"/>
          <w:sz w:val="22"/>
          <w:szCs w:val="22"/>
        </w:rPr>
        <w:t>Prasanna Chandra (2019). Financial Management: Theory and Practice. Tata McGraw-Hill.</w:t>
      </w:r>
    </w:p>
    <w:p w14:paraId="17F8EE58" w14:textId="77777777" w:rsidR="00982051" w:rsidRDefault="00982051">
      <w:pPr>
        <w:spacing w:before="60" w:after="60"/>
      </w:pPr>
    </w:p>
    <w:p w14:paraId="43DC6489" w14:textId="77777777" w:rsidR="00982051" w:rsidRDefault="00000000">
      <w:pPr>
        <w:jc w:val="center"/>
      </w:pPr>
      <w:r>
        <w:rPr>
          <w:rFonts w:ascii="Arial" w:eastAsia="Arial" w:hAnsi="Arial" w:cs="Arial"/>
          <w:color w:val="BBBBBB"/>
        </w:rPr>
        <w:t>─────────────────────────────────────────</w:t>
      </w:r>
    </w:p>
    <w:p w14:paraId="7909A8F1" w14:textId="77777777" w:rsidR="00982051" w:rsidRDefault="00000000">
      <w:pPr>
        <w:jc w:val="center"/>
      </w:pPr>
      <w:r>
        <w:rPr>
          <w:rFonts w:ascii="Arial" w:eastAsia="Arial" w:hAnsi="Arial" w:cs="Arial"/>
          <w:i/>
          <w:iCs/>
          <w:color w:val="888888"/>
        </w:rPr>
        <w:t>End of Report</w:t>
      </w:r>
    </w:p>
    <w:sectPr w:rsidR="0098205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40BE4"/>
    <w:multiLevelType w:val="hybridMultilevel"/>
    <w:tmpl w:val="03F2A368"/>
    <w:lvl w:ilvl="0" w:tplc="76ECAC18">
      <w:start w:val="1"/>
      <w:numFmt w:val="bullet"/>
      <w:lvlText w:val="●"/>
      <w:lvlJc w:val="left"/>
      <w:pPr>
        <w:ind w:left="720" w:hanging="360"/>
      </w:pPr>
    </w:lvl>
    <w:lvl w:ilvl="1" w:tplc="C264103C">
      <w:start w:val="1"/>
      <w:numFmt w:val="bullet"/>
      <w:lvlText w:val="○"/>
      <w:lvlJc w:val="left"/>
      <w:pPr>
        <w:ind w:left="1440" w:hanging="360"/>
      </w:pPr>
    </w:lvl>
    <w:lvl w:ilvl="2" w:tplc="17CC45BC">
      <w:start w:val="1"/>
      <w:numFmt w:val="bullet"/>
      <w:lvlText w:val="■"/>
      <w:lvlJc w:val="left"/>
      <w:pPr>
        <w:ind w:left="2160" w:hanging="360"/>
      </w:pPr>
    </w:lvl>
    <w:lvl w:ilvl="3" w:tplc="AB1A78CC">
      <w:start w:val="1"/>
      <w:numFmt w:val="bullet"/>
      <w:lvlText w:val="●"/>
      <w:lvlJc w:val="left"/>
      <w:pPr>
        <w:ind w:left="2880" w:hanging="360"/>
      </w:pPr>
    </w:lvl>
    <w:lvl w:ilvl="4" w:tplc="8F74E6DE">
      <w:start w:val="1"/>
      <w:numFmt w:val="bullet"/>
      <w:lvlText w:val="○"/>
      <w:lvlJc w:val="left"/>
      <w:pPr>
        <w:ind w:left="3600" w:hanging="360"/>
      </w:pPr>
    </w:lvl>
    <w:lvl w:ilvl="5" w:tplc="523E7988">
      <w:start w:val="1"/>
      <w:numFmt w:val="bullet"/>
      <w:lvlText w:val="■"/>
      <w:lvlJc w:val="left"/>
      <w:pPr>
        <w:ind w:left="4320" w:hanging="360"/>
      </w:pPr>
    </w:lvl>
    <w:lvl w:ilvl="6" w:tplc="F59AA12E">
      <w:start w:val="1"/>
      <w:numFmt w:val="bullet"/>
      <w:lvlText w:val="●"/>
      <w:lvlJc w:val="left"/>
      <w:pPr>
        <w:ind w:left="5040" w:hanging="360"/>
      </w:pPr>
    </w:lvl>
    <w:lvl w:ilvl="7" w:tplc="E18C55FC">
      <w:start w:val="1"/>
      <w:numFmt w:val="bullet"/>
      <w:lvlText w:val="●"/>
      <w:lvlJc w:val="left"/>
      <w:pPr>
        <w:ind w:left="5760" w:hanging="360"/>
      </w:pPr>
    </w:lvl>
    <w:lvl w:ilvl="8" w:tplc="409AA262">
      <w:start w:val="1"/>
      <w:numFmt w:val="bullet"/>
      <w:lvlText w:val="●"/>
      <w:lvlJc w:val="left"/>
      <w:pPr>
        <w:ind w:left="6480" w:hanging="360"/>
      </w:pPr>
    </w:lvl>
  </w:abstractNum>
  <w:abstractNum w:abstractNumId="1" w15:restartNumberingAfterBreak="0">
    <w:nsid w:val="787278E2"/>
    <w:multiLevelType w:val="hybridMultilevel"/>
    <w:tmpl w:val="892856AA"/>
    <w:lvl w:ilvl="0" w:tplc="50F8CEA2">
      <w:start w:val="1"/>
      <w:numFmt w:val="bullet"/>
      <w:lvlText w:val="•"/>
      <w:lvlJc w:val="left"/>
      <w:pPr>
        <w:ind w:left="720" w:hanging="360"/>
      </w:pPr>
    </w:lvl>
    <w:lvl w:ilvl="1" w:tplc="AA286F0E">
      <w:numFmt w:val="decimal"/>
      <w:lvlText w:val=""/>
      <w:lvlJc w:val="left"/>
    </w:lvl>
    <w:lvl w:ilvl="2" w:tplc="D95AF1AA">
      <w:numFmt w:val="decimal"/>
      <w:lvlText w:val=""/>
      <w:lvlJc w:val="left"/>
    </w:lvl>
    <w:lvl w:ilvl="3" w:tplc="91805E0C">
      <w:numFmt w:val="decimal"/>
      <w:lvlText w:val=""/>
      <w:lvlJc w:val="left"/>
    </w:lvl>
    <w:lvl w:ilvl="4" w:tplc="854C308A">
      <w:numFmt w:val="decimal"/>
      <w:lvlText w:val=""/>
      <w:lvlJc w:val="left"/>
    </w:lvl>
    <w:lvl w:ilvl="5" w:tplc="9A66C4A4">
      <w:numFmt w:val="decimal"/>
      <w:lvlText w:val=""/>
      <w:lvlJc w:val="left"/>
    </w:lvl>
    <w:lvl w:ilvl="6" w:tplc="596AD25A">
      <w:numFmt w:val="decimal"/>
      <w:lvlText w:val=""/>
      <w:lvlJc w:val="left"/>
    </w:lvl>
    <w:lvl w:ilvl="7" w:tplc="50006EE0">
      <w:numFmt w:val="decimal"/>
      <w:lvlText w:val=""/>
      <w:lvlJc w:val="left"/>
    </w:lvl>
    <w:lvl w:ilvl="8" w:tplc="07EE7C50">
      <w:numFmt w:val="decimal"/>
      <w:lvlText w:val=""/>
      <w:lvlJc w:val="left"/>
    </w:lvl>
  </w:abstractNum>
  <w:num w:numId="1" w16cid:durableId="618992943">
    <w:abstractNumId w:val="0"/>
    <w:lvlOverride w:ilvl="0">
      <w:startOverride w:val="1"/>
    </w:lvlOverride>
  </w:num>
  <w:num w:numId="2" w16cid:durableId="1134954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051"/>
    <w:rsid w:val="000648F4"/>
    <w:rsid w:val="00691DC6"/>
    <w:rsid w:val="00982051"/>
    <w:rsid w:val="00A14D44"/>
    <w:rsid w:val="00B96F7C"/>
    <w:rsid w:val="00E16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BAA98"/>
  <w15:docId w15:val="{34F666E2-1249-4030-A8CB-AF08E064C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1617</Words>
  <Characters>9217</Characters>
  <Application>Microsoft Office Word</Application>
  <DocSecurity>0</DocSecurity>
  <Lines>76</Lines>
  <Paragraphs>21</Paragraphs>
  <ScaleCrop>false</ScaleCrop>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Singh</cp:lastModifiedBy>
  <cp:revision>4</cp:revision>
  <dcterms:created xsi:type="dcterms:W3CDTF">2026-02-20T17:44:00Z</dcterms:created>
  <dcterms:modified xsi:type="dcterms:W3CDTF">2026-04-23T19:45:00Z</dcterms:modified>
</cp:coreProperties>
</file>