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CNN Capstone - Model Performance Summary</w:t>
      </w:r>
    </w:p>
    <w:p>
      <w:pPr>
        <w:spacing w:after="200"/>
      </w:pPr>
      <w:r>
        <w:rPr>
          <w:i/>
          <w:iCs/>
          <w:color w:val="595959"/>
        </w:rPr>
        <w:t xml:space="preserve">CIFAR-10 Image Classification using Deep Learning</w:t>
      </w:r>
    </w:p>
    <w:p>
      <w:pPr>
        <w:spacing w:after="120"/>
      </w:pPr>
      <w:r>
        <w:t xml:space="preserve">We trained and compared four image classifiers on the full CIFAR-10 test set of 10,000 images. The table below shows the main results.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500"/>
        <w:gridCol w:w="1300"/>
        <w:gridCol w:w="1500"/>
        <w:gridCol w:w="2660"/>
      </w:tblGrid>
      <w:tr>
        <w:tc>
          <w:tcPr>
            <w:tcW w:type="dxa" w:w="24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rPr>
              <w:t xml:space="preserve">Model</w:t>
            </w:r>
          </w:p>
        </w:tc>
        <w:tc>
          <w:tcPr>
            <w:tcW w:type="dxa" w:w="15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rPr>
              <w:t xml:space="preserve">Test acc</w:t>
            </w:r>
          </w:p>
        </w:tc>
        <w:tc>
          <w:tcPr>
            <w:tcW w:type="dxa" w:w="13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rPr>
              <w:t xml:space="preserve">F1</w:t>
            </w:r>
          </w:p>
        </w:tc>
        <w:tc>
          <w:tcPr>
            <w:tcW w:type="dxa" w:w="150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rPr>
              <w:t xml:space="preserve">Train time</w:t>
            </w:r>
          </w:p>
        </w:tc>
        <w:tc>
          <w:tcPr>
            <w:tcW w:type="dxa" w:w="2660"/>
            <w:tcBorders>
              <w:top w:val="single" w:color="BFBFBF" w:sz="1"/>
              <w:left w:val="single" w:color="BFBFBF" w:sz="1"/>
              <w:bottom w:val="single" w:color="BFBFBF" w:sz="1"/>
              <w:right w:val="single" w:color="BFBFBF" w:sz="1"/>
            </w:tcBorders>
            <w:shd w:fill="1F3864" w:val="clear"/>
            <w:tcMar>
              <w:top w:type="dxa" w:w="60"/>
              <w:left w:type="dxa" w:w="120"/>
              <w:bottom w:type="dxa" w:w="60"/>
              <w:right w:type="dxa" w:w="120"/>
            </w:tcMar>
          </w:tcPr>
          <w:p>
            <w:r>
              <w:rPr>
                <w:b/>
                <w:bCs/>
                <w:color w:val="FFFFFF"/>
              </w:rPr>
              <w:t xml:space="preserve">Inference (ms/img)</w:t>
            </w:r>
          </w:p>
        </w:tc>
      </w:tr>
      <w:t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color w:val="000000"/>
              </w:rPr>
              <w:t xml:space="preserve">ResNet50</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color w:val="000000"/>
              </w:rPr>
              <w:t xml:space="preserve">0.890</w:t>
            </w:r>
          </w:p>
        </w:tc>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color w:val="000000"/>
              </w:rPr>
              <w:t xml:space="preserve">0.889</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color w:val="000000"/>
              </w:rPr>
              <w:t xml:space="preserve">24.4 min</w:t>
            </w:r>
          </w:p>
        </w:tc>
        <w:tc>
          <w:tcPr>
            <w:tcW w:type="dxa" w:w="2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color w:val="000000"/>
              </w:rPr>
              <w:t xml:space="preserve">3.65</w:t>
            </w:r>
          </w:p>
        </w:tc>
      </w:tr>
      <w:tr>
        <w:tc>
          <w:tcPr>
            <w:tcW w:type="dxa" w:w="2400"/>
            <w:tcBorders>
              <w:top w:val="single" w:color="BFBFBF" w:sz="1"/>
              <w:left w:val="single" w:color="BFBFBF" w:sz="1"/>
              <w:bottom w:val="single" w:color="BFBFBF" w:sz="1"/>
              <w:right w:val="single" w:color="BFBFBF" w:sz="1"/>
            </w:tcBorders>
            <w:shd w:fill="EAEFF7" w:val="clear"/>
            <w:tcMar>
              <w:top w:type="dxa" w:w="60"/>
              <w:left w:type="dxa" w:w="120"/>
              <w:bottom w:type="dxa" w:w="60"/>
              <w:right w:type="dxa" w:w="120"/>
            </w:tcMar>
          </w:tcPr>
          <w:p>
            <w:r>
              <w:rPr>
                <w:b w:val="false"/>
                <w:bCs w:val="false"/>
                <w:color w:val="000000"/>
              </w:rPr>
              <w:t xml:space="preserve">EfficientNetB0</w:t>
            </w:r>
          </w:p>
        </w:tc>
        <w:tc>
          <w:tcPr>
            <w:tcW w:type="dxa" w:w="1500"/>
            <w:tcBorders>
              <w:top w:val="single" w:color="BFBFBF" w:sz="1"/>
              <w:left w:val="single" w:color="BFBFBF" w:sz="1"/>
              <w:bottom w:val="single" w:color="BFBFBF" w:sz="1"/>
              <w:right w:val="single" w:color="BFBFBF" w:sz="1"/>
            </w:tcBorders>
            <w:shd w:fill="EAEFF7" w:val="clear"/>
            <w:tcMar>
              <w:top w:type="dxa" w:w="60"/>
              <w:left w:type="dxa" w:w="120"/>
              <w:bottom w:type="dxa" w:w="60"/>
              <w:right w:type="dxa" w:w="120"/>
            </w:tcMar>
          </w:tcPr>
          <w:p>
            <w:r>
              <w:rPr>
                <w:b w:val="false"/>
                <w:bCs w:val="false"/>
                <w:color w:val="000000"/>
              </w:rPr>
              <w:t xml:space="preserve">0.889</w:t>
            </w:r>
          </w:p>
        </w:tc>
        <w:tc>
          <w:tcPr>
            <w:tcW w:type="dxa" w:w="1300"/>
            <w:tcBorders>
              <w:top w:val="single" w:color="BFBFBF" w:sz="1"/>
              <w:left w:val="single" w:color="BFBFBF" w:sz="1"/>
              <w:bottom w:val="single" w:color="BFBFBF" w:sz="1"/>
              <w:right w:val="single" w:color="BFBFBF" w:sz="1"/>
            </w:tcBorders>
            <w:shd w:fill="EAEFF7" w:val="clear"/>
            <w:tcMar>
              <w:top w:type="dxa" w:w="60"/>
              <w:left w:type="dxa" w:w="120"/>
              <w:bottom w:type="dxa" w:w="60"/>
              <w:right w:type="dxa" w:w="120"/>
            </w:tcMar>
          </w:tcPr>
          <w:p>
            <w:r>
              <w:rPr>
                <w:b w:val="false"/>
                <w:bCs w:val="false"/>
                <w:color w:val="000000"/>
              </w:rPr>
              <w:t xml:space="preserve">0.888</w:t>
            </w:r>
          </w:p>
        </w:tc>
        <w:tc>
          <w:tcPr>
            <w:tcW w:type="dxa" w:w="1500"/>
            <w:tcBorders>
              <w:top w:val="single" w:color="BFBFBF" w:sz="1"/>
              <w:left w:val="single" w:color="BFBFBF" w:sz="1"/>
              <w:bottom w:val="single" w:color="BFBFBF" w:sz="1"/>
              <w:right w:val="single" w:color="BFBFBF" w:sz="1"/>
            </w:tcBorders>
            <w:shd w:fill="EAEFF7" w:val="clear"/>
            <w:tcMar>
              <w:top w:type="dxa" w:w="60"/>
              <w:left w:type="dxa" w:w="120"/>
              <w:bottom w:type="dxa" w:w="60"/>
              <w:right w:type="dxa" w:w="120"/>
            </w:tcMar>
          </w:tcPr>
          <w:p>
            <w:r>
              <w:rPr>
                <w:b w:val="false"/>
                <w:bCs w:val="false"/>
                <w:color w:val="000000"/>
              </w:rPr>
              <w:t xml:space="preserve">8.7 min</w:t>
            </w:r>
          </w:p>
        </w:tc>
        <w:tc>
          <w:tcPr>
            <w:tcW w:type="dxa" w:w="2660"/>
            <w:tcBorders>
              <w:top w:val="single" w:color="BFBFBF" w:sz="1"/>
              <w:left w:val="single" w:color="BFBFBF" w:sz="1"/>
              <w:bottom w:val="single" w:color="BFBFBF" w:sz="1"/>
              <w:right w:val="single" w:color="BFBFBF" w:sz="1"/>
            </w:tcBorders>
            <w:shd w:fill="EAEFF7" w:val="clear"/>
            <w:tcMar>
              <w:top w:type="dxa" w:w="60"/>
              <w:left w:type="dxa" w:w="120"/>
              <w:bottom w:type="dxa" w:w="60"/>
              <w:right w:type="dxa" w:w="120"/>
            </w:tcMar>
          </w:tcPr>
          <w:p>
            <w:r>
              <w:rPr>
                <w:b w:val="false"/>
                <w:bCs w:val="false"/>
                <w:color w:val="000000"/>
              </w:rPr>
              <w:t xml:space="preserve">2.18</w:t>
            </w:r>
          </w:p>
        </w:tc>
      </w:tr>
      <w:tr>
        <w:tc>
          <w:tcPr>
            <w:tcW w:type="dxa" w:w="24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color w:val="000000"/>
              </w:rPr>
              <w:t xml:space="preserve">VGG16</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color w:val="000000"/>
              </w:rPr>
              <w:t xml:space="preserve">0.819</w:t>
            </w:r>
          </w:p>
        </w:tc>
        <w:tc>
          <w:tcPr>
            <w:tcW w:type="dxa" w:w="13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color w:val="000000"/>
              </w:rPr>
              <w:t xml:space="preserve">0.817</w:t>
            </w:r>
          </w:p>
        </w:tc>
        <w:tc>
          <w:tcPr>
            <w:tcW w:type="dxa" w:w="150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color w:val="000000"/>
              </w:rPr>
              <w:t xml:space="preserve">49.4 min</w:t>
            </w:r>
          </w:p>
        </w:tc>
        <w:tc>
          <w:tcPr>
            <w:tcW w:type="dxa" w:w="2660"/>
            <w:tcBorders>
              <w:top w:val="single" w:color="BFBFBF" w:sz="1"/>
              <w:left w:val="single" w:color="BFBFBF" w:sz="1"/>
              <w:bottom w:val="single" w:color="BFBFBF" w:sz="1"/>
              <w:right w:val="single" w:color="BFBFBF" w:sz="1"/>
            </w:tcBorders>
            <w:tcMar>
              <w:top w:type="dxa" w:w="60"/>
              <w:left w:type="dxa" w:w="120"/>
              <w:bottom w:type="dxa" w:w="60"/>
              <w:right w:type="dxa" w:w="120"/>
            </w:tcMar>
          </w:tcPr>
          <w:p>
            <w:r>
              <w:rPr>
                <w:b w:val="false"/>
                <w:bCs w:val="false"/>
                <w:color w:val="000000"/>
              </w:rPr>
              <w:t xml:space="preserve">6.02</w:t>
            </w:r>
          </w:p>
        </w:tc>
      </w:tr>
      <w:tr>
        <w:tc>
          <w:tcPr>
            <w:tcW w:type="dxa" w:w="2400"/>
            <w:tcBorders>
              <w:top w:val="single" w:color="BFBFBF" w:sz="1"/>
              <w:left w:val="single" w:color="BFBFBF" w:sz="1"/>
              <w:bottom w:val="single" w:color="BFBFBF" w:sz="1"/>
              <w:right w:val="single" w:color="BFBFBF" w:sz="1"/>
            </w:tcBorders>
            <w:shd w:fill="EAEFF7" w:val="clear"/>
            <w:tcMar>
              <w:top w:type="dxa" w:w="60"/>
              <w:left w:type="dxa" w:w="120"/>
              <w:bottom w:type="dxa" w:w="60"/>
              <w:right w:type="dxa" w:w="120"/>
            </w:tcMar>
          </w:tcPr>
          <w:p>
            <w:r>
              <w:rPr>
                <w:b w:val="false"/>
                <w:bCs w:val="false"/>
                <w:color w:val="000000"/>
              </w:rPr>
              <w:t xml:space="preserve">Simple CNN</w:t>
            </w:r>
          </w:p>
        </w:tc>
        <w:tc>
          <w:tcPr>
            <w:tcW w:type="dxa" w:w="1500"/>
            <w:tcBorders>
              <w:top w:val="single" w:color="BFBFBF" w:sz="1"/>
              <w:left w:val="single" w:color="BFBFBF" w:sz="1"/>
              <w:bottom w:val="single" w:color="BFBFBF" w:sz="1"/>
              <w:right w:val="single" w:color="BFBFBF" w:sz="1"/>
            </w:tcBorders>
            <w:shd w:fill="EAEFF7" w:val="clear"/>
            <w:tcMar>
              <w:top w:type="dxa" w:w="60"/>
              <w:left w:type="dxa" w:w="120"/>
              <w:bottom w:type="dxa" w:w="60"/>
              <w:right w:type="dxa" w:w="120"/>
            </w:tcMar>
          </w:tcPr>
          <w:p>
            <w:r>
              <w:rPr>
                <w:b w:val="false"/>
                <w:bCs w:val="false"/>
                <w:color w:val="000000"/>
              </w:rPr>
              <w:t xml:space="preserve">0.693</w:t>
            </w:r>
          </w:p>
        </w:tc>
        <w:tc>
          <w:tcPr>
            <w:tcW w:type="dxa" w:w="1300"/>
            <w:tcBorders>
              <w:top w:val="single" w:color="BFBFBF" w:sz="1"/>
              <w:left w:val="single" w:color="BFBFBF" w:sz="1"/>
              <w:bottom w:val="single" w:color="BFBFBF" w:sz="1"/>
              <w:right w:val="single" w:color="BFBFBF" w:sz="1"/>
            </w:tcBorders>
            <w:shd w:fill="EAEFF7" w:val="clear"/>
            <w:tcMar>
              <w:top w:type="dxa" w:w="60"/>
              <w:left w:type="dxa" w:w="120"/>
              <w:bottom w:type="dxa" w:w="60"/>
              <w:right w:type="dxa" w:w="120"/>
            </w:tcMar>
          </w:tcPr>
          <w:p>
            <w:r>
              <w:rPr>
                <w:b w:val="false"/>
                <w:bCs w:val="false"/>
                <w:color w:val="000000"/>
              </w:rPr>
              <w:t xml:space="preserve">0.684</w:t>
            </w:r>
          </w:p>
        </w:tc>
        <w:tc>
          <w:tcPr>
            <w:tcW w:type="dxa" w:w="1500"/>
            <w:tcBorders>
              <w:top w:val="single" w:color="BFBFBF" w:sz="1"/>
              <w:left w:val="single" w:color="BFBFBF" w:sz="1"/>
              <w:bottom w:val="single" w:color="BFBFBF" w:sz="1"/>
              <w:right w:val="single" w:color="BFBFBF" w:sz="1"/>
            </w:tcBorders>
            <w:shd w:fill="EAEFF7" w:val="clear"/>
            <w:tcMar>
              <w:top w:type="dxa" w:w="60"/>
              <w:left w:type="dxa" w:w="120"/>
              <w:bottom w:type="dxa" w:w="60"/>
              <w:right w:type="dxa" w:w="120"/>
            </w:tcMar>
          </w:tcPr>
          <w:p>
            <w:r>
              <w:rPr>
                <w:b w:val="false"/>
                <w:bCs w:val="false"/>
                <w:color w:val="000000"/>
              </w:rPr>
              <w:t xml:space="preserve">1.8 min</w:t>
            </w:r>
          </w:p>
        </w:tc>
        <w:tc>
          <w:tcPr>
            <w:tcW w:type="dxa" w:w="2660"/>
            <w:tcBorders>
              <w:top w:val="single" w:color="BFBFBF" w:sz="1"/>
              <w:left w:val="single" w:color="BFBFBF" w:sz="1"/>
              <w:bottom w:val="single" w:color="BFBFBF" w:sz="1"/>
              <w:right w:val="single" w:color="BFBFBF" w:sz="1"/>
            </w:tcBorders>
            <w:shd w:fill="EAEFF7" w:val="clear"/>
            <w:tcMar>
              <w:top w:type="dxa" w:w="60"/>
              <w:left w:type="dxa" w:w="120"/>
              <w:bottom w:type="dxa" w:w="60"/>
              <w:right w:type="dxa" w:w="120"/>
            </w:tcMar>
          </w:tcPr>
          <w:p>
            <w:r>
              <w:rPr>
                <w:b w:val="false"/>
                <w:bCs w:val="false"/>
                <w:color w:val="000000"/>
              </w:rPr>
              <w:t xml:space="preserve">0.13</w:t>
            </w:r>
          </w:p>
        </w:tc>
      </w:tr>
    </w:tbl>
    <w:p>
      <w:pPr>
        <w:spacing w:after="120"/>
      </w:pPr>
      <w:r>
        <w:t xml:space="preserve"> </w:t>
      </w:r>
    </w:p>
    <w:p>
      <w:pPr>
        <w:pStyle w:val="Heading2"/>
      </w:pPr>
      <w:r>
        <w:t xml:space="preserve">Best Model</w:t>
      </w:r>
    </w:p>
    <w:p>
      <w:pPr>
        <w:spacing w:after="120"/>
      </w:pPr>
      <w:r>
        <w:t xml:space="preserve">ResNet50 was the most accurate single model, reaching 89.0% test accuracy (F1 0.889). EfficientNetB0 was almost as good at 88.9%, but it uses about 6 times fewer parameters (4.2M vs 23.9M) and is faster at inference (2.18 ms vs 3.65 ms per image). Because of this, EfficientNetB0 is the best practical choice, while ResNet50 is the top pick when accuracy is the only goal.</w:t>
      </w:r>
    </w:p>
    <w:p>
      <w:pPr>
        <w:spacing w:after="120"/>
      </w:pPr>
      <w:r>
        <w:t xml:space="preserve">VGG16 reached 81.9% but was the slowest to train (about 49 minutes) and the slowest at inference (6.0 ms per image), so it gave the weakest trade-off. The Simple CNN reached 69.3%; it is much smaller (0.36M parameters) and the fastest (0.13 ms per image), but clearly less accurate.</w:t>
      </w:r>
    </w:p>
    <w:p>
      <w:pPr>
        <w:pStyle w:val="Heading2"/>
      </w:pPr>
      <w:r>
        <w:t xml:space="preserve">Improvements</w:t>
      </w:r>
    </w:p>
    <w:p>
      <w:pPr>
        <w:pStyle w:val="ListParagraph"/>
        <w:numPr>
          <w:ilvl w:val="0"/>
          <w:numId w:val="2"/>
        </w:numPr>
      </w:pPr>
      <w:r>
        <w:t xml:space="preserve">Fine-tuning ResNet50 (unfreezing the top layers with a very low learning rate) raised its accuracy from 89.0% to 91.0%.</w:t>
      </w:r>
    </w:p>
    <w:p>
      <w:pPr>
        <w:pStyle w:val="ListParagraph"/>
        <w:numPr>
          <w:ilvl w:val="0"/>
          <w:numId w:val="2"/>
        </w:numPr>
      </w:pPr>
      <w:r>
        <w:t xml:space="preserve">An ensemble of ResNet50 and EfficientNetB0 (averaging their predictions) gave the best result of all: 91.3%.</w:t>
      </w:r>
    </w:p>
    <w:p>
      <w:pPr>
        <w:pStyle w:val="ListParagraph"/>
        <w:numPr>
          <w:ilvl w:val="0"/>
          <w:numId w:val="2"/>
        </w:numPr>
      </w:pPr>
      <w:r>
        <w:t xml:space="preserve">Quantizing the Simple CNN to TensorFlow Lite shrank it to about 0.37 MB with very little accuracy loss, which is useful for mobile devices.</w:t>
      </w:r>
    </w:p>
    <w:p>
      <w:pPr>
        <w:pStyle w:val="Heading2"/>
      </w:pPr>
      <w:r>
        <w:t xml:space="preserve">Recommendation</w:t>
      </w:r>
    </w:p>
    <w:p>
      <w:pPr>
        <w:spacing w:after="120"/>
      </w:pPr>
      <w:r>
        <w:t xml:space="preserve">For the highest possible accuracy, use the ensemble or the fine-tuned ResNet50. For real-time or mobile use, EfficientNetB0 (or its quantized version) is the best choice, because it gives almost the same accuracy at a fraction of the size and speed cost. The Simple CNN is only suitable when speed and tiny size matter much more than accuracy.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120"/>
      <w:outlineLvl w:val="0"/>
    </w:pPr>
    <w:rPr>
      <w:rFonts w:ascii="Arial" w:cs="Arial" w:eastAsia="Arial" w:hAnsi="Arial"/>
      <w:b/>
      <w:bCs/>
      <w:sz w:val="34"/>
      <w:szCs w:val="34"/>
    </w:rPr>
  </w:style>
  <w:style w:type="paragraph" w:styleId="Heading2">
    <w:name w:val="Heading 2"/>
    <w:basedOn w:val="Normal"/>
    <w:next w:val="Normal"/>
    <w:qFormat/>
    <w:pPr>
      <w:spacing w:after="120" w:before="260"/>
      <w:outlineLvl w:val="1"/>
    </w:pPr>
    <w:rPr>
      <w:rFonts w:ascii="Arial" w:cs="Arial" w:eastAsia="Arial" w:hAnsi="Arial"/>
      <w:b/>
      <w:bCs/>
      <w:color w:val="1F386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2026-06-07T07:11:11.662Z</dcterms:created>
  <dcterms:modified xsi:type="dcterms:W3CDTF">2026-06-07T07:11:11.662Z</dcterms:modified>
</cp:coreProperties>
</file>

<file path=docProps/custom.xml><?xml version="1.0" encoding="utf-8"?>
<Properties xmlns="http://schemas.openxmlformats.org/officeDocument/2006/custom-properties" xmlns:vt="http://schemas.openxmlformats.org/officeDocument/2006/docPropsVTypes"/>
</file>