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CardioSentinel: A Multi-Model Federated Framework</w:t>
      </w:r>
      <w:r>
        <w:t xml:space="preserve"> </w:t>
      </w:r>
      <w:r>
        <w:t xml:space="preserve">for ECG-Based Heart Disease Detection</w:t>
      </w:r>
    </w:p>
    <w:p>
      <w:pPr>
        <w:pStyle w:val="Author"/>
      </w:pPr>
      <w:r>
        <w:t xml:space="preserve">Siddhi Salunkhe (23BDS0243) and Sanvi Saket (23BDS0210)</w:t>
      </w:r>
    </w:p>
    <w:p>
      <w:pPr>
        <w:pStyle w:val="FirstParagraph"/>
      </w:pPr>
      <w:r>
        <w:rPr>
          <w:b/>
          <w:bCs/>
          <w:i/>
          <w:iCs/>
        </w:rPr>
        <w:t xml:space="preserve">Abstract</w:t>
      </w:r>
      <w:r>
        <w:t xml:space="preserve">—</w:t>
      </w:r>
      <w:r>
        <w:t xml:space="preserve"> </w:t>
      </w:r>
      <w:r>
        <w:t xml:space="preserve">Automatic interpretation of the 12-lead electrocardiogram (ECG) can speed up the detection of</w:t>
      </w:r>
      <w:r>
        <w:t xml:space="preserve"> </w:t>
      </w:r>
      <w:r>
        <w:t xml:space="preserve">myocardial infarction, ischaemic changes, conduction disturbances and hypertrophy, but the deep</w:t>
      </w:r>
      <w:r>
        <w:t xml:space="preserve"> </w:t>
      </w:r>
      <w:r>
        <w:t xml:space="preserve">networks that perform best are trained on centrally pooled data, whereas hospitals cannot share</w:t>
      </w:r>
      <w:r>
        <w:t xml:space="preserve"> </w:t>
      </w:r>
      <w:r>
        <w:t xml:space="preserve">patient records. Federated learning removes this constraint, yet common methods average model</w:t>
      </w:r>
      <w:r>
        <w:t xml:space="preserve"> </w:t>
      </w:r>
      <w:r>
        <w:t xml:space="preserve">parameters over many rounds and therefore force every institution to train the same architecture,</w:t>
      </w:r>
      <w:r>
        <w:t xml:space="preserve"> </w:t>
      </w:r>
      <w:r>
        <w:t xml:space="preserve">and few ECG studies explain their predictions or state when a finding should be referred. This paper</w:t>
      </w:r>
      <w:r>
        <w:t xml:space="preserve"> </w:t>
      </w:r>
      <w:r>
        <w:t xml:space="preserve">proposes CardioSentinel, a one-shot federated model in which four clients train structurally different</w:t>
      </w:r>
      <w:r>
        <w:t xml:space="preserve"> </w:t>
      </w:r>
      <w:r>
        <w:t xml:space="preserve">networks (a 1D CNN, a 1D ResNet, a BiLSTM and a CNN-LSTM) on disjoint, patient-separated data, calibrate</w:t>
      </w:r>
      <w:r>
        <w:t xml:space="preserve"> </w:t>
      </w:r>
      <w:r>
        <w:t xml:space="preserve">them with a temperature, and share only class probabilities with a server that combines them with</w:t>
      </w:r>
      <w:r>
        <w:t xml:space="preserve"> </w:t>
      </w:r>
      <w:r>
        <w:t xml:space="preserve">weights on the probability simplex. Equal, learned static and per-patient dynamic weights are selected</w:t>
      </w:r>
      <w:r>
        <w:t xml:space="preserve"> </w:t>
      </w:r>
      <w:r>
        <w:t xml:space="preserve">by patient-grouped cross-validation with a parsimony margin. Experiments use 21,388 records of PTB-XL</w:t>
      </w:r>
      <w:r>
        <w:t xml:space="preserve"> </w:t>
      </w:r>
      <w:r>
        <w:t xml:space="preserve">for multi-label classification of five superclasses, with 80% of the data for training, 10% for</w:t>
      </w:r>
      <w:r>
        <w:t xml:space="preserve"> </w:t>
      </w:r>
      <w:r>
        <w:t xml:space="preserve">validation and an untouched 10% for testing, over three seeds. The federated model achieves a macro</w:t>
      </w:r>
      <w:r>
        <w:t xml:space="preserve"> </w:t>
      </w:r>
      <w:r>
        <w:t xml:space="preserve">AUROC of 0.905, a macro F1 of 70.7% and a label-wise accuracy of 86.9%, improves on the best single</w:t>
      </w:r>
      <w:r>
        <w:t xml:space="preserve"> </w:t>
      </w:r>
      <w:r>
        <w:t xml:space="preserve">client in every seed (+0.009 to +0.012 AUROC, paired bootstrap), and comes within 0.004 AUROC of a</w:t>
      </w:r>
      <w:r>
        <w:t xml:space="preserve"> </w:t>
      </w:r>
      <w:r>
        <w:t xml:space="preserve">centrally trained model and within 0.002 of FedAvg, which needs 20 rounds and a shared architecture. Integrated Gradients localise the evidence in leads and</w:t>
      </w:r>
      <w:r>
        <w:t xml:space="preserve"> </w:t>
      </w:r>
      <w:r>
        <w:t xml:space="preserve">waveform segments, and per-finding triage decides 53.7% of findings automatically at 0.937 precision.</w:t>
      </w:r>
      <w:r>
        <w:t xml:space="preserve"> </w:t>
      </w:r>
      <w:r>
        <w:t xml:space="preserve">Most of the benefit of pooling ECG data is thus obtained without exchanging data, parameters or</w:t>
      </w:r>
      <w:r>
        <w:t xml:space="preserve"> </w:t>
      </w:r>
      <w:r>
        <w:t xml:space="preserve">architectures.</w:t>
      </w:r>
    </w:p>
    <w:p>
      <w:pPr>
        <w:pStyle w:val="BodyText"/>
      </w:pPr>
      <w:r>
        <w:rPr>
          <w:b/>
          <w:bCs/>
          <w:i/>
          <w:iCs/>
        </w:rPr>
        <w:t xml:space="preserve">Index Terms</w:t>
      </w:r>
      <w:r>
        <w:t xml:space="preserve">—</w:t>
      </w:r>
      <w:r>
        <w:t xml:space="preserve"> </w:t>
      </w:r>
      <w:r>
        <w:t xml:space="preserve">Electrocardiogram, federated learning, ensemble learning, multi-label classification, PTB-XL,</w:t>
      </w:r>
      <w:r>
        <w:t xml:space="preserve"> </w:t>
      </w:r>
      <w:r>
        <w:t xml:space="preserve">explainable artificial intelligence, calibration.</w:t>
      </w:r>
    </w:p>
    <w:bookmarkStart w:id="9" w:name="i.-introduction"/>
    <w:p>
      <w:pPr>
        <w:pStyle w:val="Heading1"/>
      </w:pPr>
      <w:r>
        <w:t xml:space="preserve">I. Introduction</w:t>
      </w:r>
    </w:p>
    <w:p>
      <w:pPr>
        <w:pStyle w:val="FirstParagraph"/>
      </w:pPr>
      <w:r>
        <w:t xml:space="preserve">Cardiovascular diseases remain the leading cause of death worldwide, and the</w:t>
      </w:r>
      <w:r>
        <w:t xml:space="preserve"> </w:t>
      </w:r>
      <w:r>
        <w:t xml:space="preserve">Global Burden of Disease study estimated that their prevalence has almost doubled between 1990</w:t>
      </w:r>
      <w:r>
        <w:t xml:space="preserve"> </w:t>
      </w:r>
      <w:r>
        <w:t xml:space="preserve">and 2019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. The 12-lead electrocardiogram (ECG) is the first-line, low-cost and</w:t>
      </w:r>
      <w:r>
        <w:t xml:space="preserve"> </w:t>
      </w:r>
      <w:r>
        <w:t xml:space="preserve">non-invasive test for most of these conditions: it is recorded in primary care, emergency</w:t>
      </w:r>
      <w:r>
        <w:t xml:space="preserve"> </w:t>
      </w:r>
      <w:r>
        <w:t xml:space="preserve">departments and wards, and a single ten-second recording can reveal myocardial infarction (MI),</w:t>
      </w:r>
      <w:r>
        <w:t xml:space="preserve"> </w:t>
      </w:r>
      <w:r>
        <w:t xml:space="preserve">ischaemic ST/T changes (STTC), conduction disturbances (CD) and ventricular hypertrophy (HYP).</w:t>
      </w:r>
      <w:r>
        <w:t xml:space="preserve"> </w:t>
      </w:r>
      <w:r>
        <w:t xml:space="preserve">Because a large fraction of ECGs is acquired where no cardiologist is present, reliable automatic</w:t>
      </w:r>
      <w:r>
        <w:t xml:space="preserve"> </w:t>
      </w:r>
      <w:r>
        <w:t xml:space="preserve">interpretation directly affects how quickly a patient with an acute finding is identified and</w:t>
      </w:r>
      <w:r>
        <w:t xml:space="preserve"> </w:t>
      </w:r>
      <w:r>
        <w:t xml:space="preserve">referred.</w:t>
      </w:r>
    </w:p>
    <w:p>
      <w:pPr>
        <w:pStyle w:val="BodyText"/>
      </w:pPr>
      <w:r>
        <w:rPr>
          <w:i/>
          <w:iCs/>
        </w:rPr>
        <w:t xml:space="preserve">Problem definition.</w:t>
      </w:r>
      <w:r>
        <w:t xml:space="preserve"> </w:t>
      </w:r>
      <w:r>
        <w:t xml:space="preserve">In current practice the ECG is interpreted visually by a physician,</w:t>
      </w:r>
      <w:r>
        <w:t xml:space="preserve"> </w:t>
      </w:r>
      <w:r>
        <w:t xml:space="preserve">often supported by rule-based software built into the electrocardiograph. Visual reading is</w:t>
      </w:r>
      <w:r>
        <w:t xml:space="preserve"> </w:t>
      </w:r>
      <w:r>
        <w:t xml:space="preserve">subjective and depends on training and workload, and the built-in algorithms are known to produce</w:t>
      </w:r>
      <w:r>
        <w:t xml:space="preserve"> </w:t>
      </w:r>
      <w:r>
        <w:t xml:space="preserve">frequent errors, especially for non-sinus rhythms and subtle morphological changes, so their</w:t>
      </w:r>
      <w:r>
        <w:t xml:space="preserve"> </w:t>
      </w:r>
      <w:r>
        <w:t xml:space="preserve">statements have to be over-read by an expert</w:t>
      </w:r>
      <w:r>
        <w:t xml:space="preserve"> </w:t>
      </w:r>
      <w:r>
        <w:t xml:space="preserve">[</w:t>
      </w:r>
      <w:r>
        <w:t xml:space="preserve">2</w:t>
      </w:r>
      <w:r>
        <w:t xml:space="preserve">]</w:t>
      </w:r>
      <w:r>
        <w:t xml:space="preserve">. A single ECG can, moreover,</w:t>
      </w:r>
      <w:r>
        <w:t xml:space="preserve"> </w:t>
      </w:r>
      <w:r>
        <w:t xml:space="preserve">carry several co-existing diagnoses, which makes the task inherently multi-label rather than a</w:t>
      </w:r>
      <w:r>
        <w:t xml:space="preserve"> </w:t>
      </w:r>
      <w:r>
        <w:t xml:space="preserve">choice between mutually exclusive classes. In this work the problem is therefore formulated as</w:t>
      </w:r>
      <w:r>
        <w:t xml:space="preserve"> </w:t>
      </w:r>
      <w:r>
        <w:t xml:space="preserve">the multi-label prediction of the five diagnostic superclasses NORM, MI, STTC, CD and HYP from the</w:t>
      </w:r>
      <w:r>
        <w:t xml:space="preserve"> </w:t>
      </w:r>
      <w:r>
        <w:t xml:space="preserve">raw 12-lead signal.</w:t>
      </w:r>
    </w:p>
    <w:p>
      <w:pPr>
        <w:pStyle w:val="BodyText"/>
      </w:pPr>
      <w:r>
        <w:t xml:space="preserve">Deep learning has substantially changed automatic ECG analysis. Convolutional and recurrent</w:t>
      </w:r>
      <w:r>
        <w:t xml:space="preserve"> </w:t>
      </w:r>
      <w:r>
        <w:t xml:space="preserve">networks have reached cardiologist-level performance on single-lead ambulatory recordings</w:t>
      </w:r>
      <w:r>
        <w:t xml:space="preserve"> </w:t>
      </w:r>
      <w:r>
        <w:t xml:space="preserve">[</w:t>
      </w:r>
      <w:r>
        <w:t xml:space="preserve">3</w:t>
      </w:r>
      <w:r>
        <w:t xml:space="preserve">]</w:t>
      </w:r>
      <w:r>
        <w:t xml:space="preserve"> </w:t>
      </w:r>
      <w:r>
        <w:t xml:space="preserve">and on large 12-lead cohorts</w:t>
      </w:r>
      <w:r>
        <w:t xml:space="preserve"> </w:t>
      </w:r>
      <w:r>
        <w:t xml:space="preserve">[</w:t>
      </w:r>
      <w:r>
        <w:t xml:space="preserve">4</w:t>
      </w:r>
      <w:r>
        <w:t xml:space="preserve">]</w:t>
      </w:r>
      <w:r>
        <w:t xml:space="preserve">, and the public PTB-XL dataset</w:t>
      </w:r>
      <w:r>
        <w:t xml:space="preserve"> </w:t>
      </w:r>
      <w:r>
        <w:t xml:space="preserve">[</w:t>
      </w:r>
      <w:r>
        <w:t xml:space="preserve">5</w:t>
      </w:r>
      <w:r>
        <w:t xml:space="preserve">]</w:t>
      </w:r>
      <w:r>
        <w:t xml:space="preserve"> </w:t>
      </w:r>
      <w:r>
        <w:t xml:space="preserve">has enabled reproducible benchmarks in which ResNet, Inception and LSTM</w:t>
      </w:r>
      <w:r>
        <w:t xml:space="preserve"> </w:t>
      </w:r>
      <w:r>
        <w:t xml:space="preserve">models reach macro areas under the ROC curve (AUROC) between 0.921 and 0.930 on the</w:t>
      </w:r>
      <w:r>
        <w:t xml:space="preserve"> </w:t>
      </w:r>
      <w:r>
        <w:t xml:space="preserve">superdiagnostic task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. Subsequent work has added self-supervised pretraining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8</w:t>
      </w:r>
      <w:r>
        <w:t xml:space="preserve">]</w:t>
      </w:r>
      <w:r>
        <w:t xml:space="preserve">, state space models and patient metadata</w:t>
      </w:r>
      <w:r>
        <w:t xml:space="preserve"> </w:t>
      </w:r>
      <w:r>
        <w:t xml:space="preserve">[</w:t>
      </w:r>
      <w:r>
        <w:t xml:space="preserve">9</w:t>
      </w:r>
      <w:r>
        <w:t xml:space="preserve">]</w:t>
      </w:r>
      <w:r>
        <w:t xml:space="preserve">, and</w:t>
      </w:r>
      <w:r>
        <w:t xml:space="preserve"> </w:t>
      </w:r>
      <w:r>
        <w:t xml:space="preserve">ECG–text multimodal learning</w:t>
      </w:r>
      <w:r>
        <w:t xml:space="preserve"> </w:t>
      </w:r>
      <w:r>
        <w:t xml:space="preserve">[</w:t>
      </w:r>
      <w:r>
        <w:t xml:space="preserve">10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11</w:t>
      </w:r>
      <w:r>
        <w:t xml:space="preserve">]</w:t>
      </w:r>
      <w:r>
        <w:t xml:space="preserve">. Three gaps nevertheless remain.</w:t>
      </w:r>
      <w:r>
        <w:t xml:space="preserve"> </w:t>
      </w:r>
      <w:r>
        <w:t xml:space="preserve">First, almost all of these models are trained on centrally pooled data, whereas in practice ECG</w:t>
      </w:r>
      <w:r>
        <w:t xml:space="preserve"> </w:t>
      </w:r>
      <w:r>
        <w:t xml:space="preserve">archives are held by separate hospitals that cannot share patient records. Second, the federated</w:t>
      </w:r>
      <w:r>
        <w:t xml:space="preserve"> </w:t>
      </w:r>
      <w:r>
        <w:t xml:space="preserve">learning (FL) methods that address this constraint</w:t>
      </w:r>
      <w:r>
        <w:t xml:space="preserve"> </w:t>
      </w:r>
      <w:r>
        <w:t xml:space="preserve">[</w:t>
      </w:r>
      <w:r>
        <w:t xml:space="preserve">12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13</w:t>
      </w:r>
      <w:r>
        <w:t xml:space="preserve">]</w:t>
      </w:r>
      <w:r>
        <w:t xml:space="preserve">, such as FedAvg</w:t>
      </w:r>
      <w:r>
        <w:t xml:space="preserve"> </w:t>
      </w:r>
      <w:r>
        <w:t xml:space="preserve">[</w:t>
      </w:r>
      <w:r>
        <w:t xml:space="preserve">14</w:t>
      </w:r>
      <w:r>
        <w:t xml:space="preserve">]</w:t>
      </w:r>
      <w:r>
        <w:t xml:space="preserve">,</w:t>
      </w:r>
      <w:r>
        <w:t xml:space="preserve"> </w:t>
      </w:r>
      <w:r>
        <w:t xml:space="preserve">FedProx</w:t>
      </w:r>
      <w:r>
        <w:t xml:space="preserve"> </w:t>
      </w:r>
      <w:r>
        <w:t xml:space="preserve">[</w:t>
      </w:r>
      <w:r>
        <w:t xml:space="preserve">15</w:t>
      </w:r>
      <w:r>
        <w:t xml:space="preserve">]</w:t>
      </w:r>
      <w:r>
        <w:t xml:space="preserve"> </w:t>
      </w:r>
      <w:r>
        <w:t xml:space="preserve">and SCAFFOLD</w:t>
      </w:r>
      <w:r>
        <w:t xml:space="preserve"> </w:t>
      </w:r>
      <w:r>
        <w:t xml:space="preserve">[</w:t>
      </w:r>
      <w:r>
        <w:t xml:space="preserve">16</w:t>
      </w:r>
      <w:r>
        <w:t xml:space="preserve">]</w:t>
      </w:r>
      <w:r>
        <w:t xml:space="preserve">, average model parameters</w:t>
      </w:r>
      <w:r>
        <w:t xml:space="preserve"> </w:t>
      </w:r>
      <w:r>
        <w:t xml:space="preserve">and therefore require every site to train the same architecture over many communication rounds.</w:t>
      </w:r>
      <w:r>
        <w:t xml:space="preserve"> </w:t>
      </w:r>
      <w:r>
        <w:t xml:space="preserve">Third, the clinical use of such models requires explanations and an explicit statement of when the</w:t>
      </w:r>
      <w:r>
        <w:t xml:space="preserve"> </w:t>
      </w:r>
      <w:r>
        <w:t xml:space="preserve">model should not decide on its own, which most ECG studies do not provide</w:t>
      </w:r>
      <w:r>
        <w:t xml:space="preserve"> </w:t>
      </w:r>
      <w:r>
        <w:t xml:space="preserve">[</w:t>
      </w:r>
      <w:r>
        <w:t xml:space="preserve">17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 and novelty.</w:t>
      </w:r>
      <w:r>
        <w:t xml:space="preserve"> </w:t>
      </w:r>
      <w:r>
        <w:t xml:space="preserve">This paper studies a setting in which several institutions each</w:t>
      </w:r>
      <w:r>
        <w:t xml:space="preserve"> </w:t>
      </w:r>
      <w:r>
        <w:t xml:space="preserve">own a disjoint, patient-separated share of the training data and are free to choose their own</w:t>
      </w:r>
      <w:r>
        <w:t xml:space="preserve"> </w:t>
      </w:r>
      <w:r>
        <w:t xml:space="preserve">network architecture. Instead of averaging parameters, each institution trains its model once,</w:t>
      </w:r>
      <w:r>
        <w:t xml:space="preserve"> </w:t>
      </w:r>
      <w:r>
        <w:t xml:space="preserve">calibrates it, and contributes only its predicted class probabilities to a central gate, which</w:t>
      </w:r>
      <w:r>
        <w:t xml:space="preserve"> </w:t>
      </w:r>
      <w:r>
        <w:t xml:space="preserve">combines them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weights on the probability simplex. This</w:t>
      </w:r>
      <w:r>
        <w:t xml:space="preserve"> </w:t>
      </w:r>
      <w:r>
        <w:t xml:space="preserve">one-shot, prediction-level form of federation needs a single communication step per query, places</w:t>
      </w:r>
      <w:r>
        <w:t xml:space="preserve"> </w:t>
      </w:r>
      <w:r>
        <w:t xml:space="preserve">no constraint on the client architectures, and never moves raw ECGs or parameters between sites. The</w:t>
      </w:r>
      <w:r>
        <w:t xml:space="preserve"> </w:t>
      </w:r>
      <w:r>
        <w:t xml:space="preserve">question addressed is deliberately conservative: whether the aggregated model is better than the</w:t>
      </w:r>
      <w:r>
        <w:t xml:space="preserve"> </w:t>
      </w:r>
      <w:r>
        <w:t xml:space="preserve">best individual client, and how close it comes to a model trained on all data pooled together. The</w:t>
      </w:r>
      <w:r>
        <w:t xml:space="preserve"> </w:t>
      </w:r>
      <w:r>
        <w:t xml:space="preserve">weighting scheme itself is selected on validation data with a rule that prefers the simplest</w:t>
      </w:r>
      <w:r>
        <w:t xml:space="preserve"> </w:t>
      </w:r>
      <w:r>
        <w:t xml:space="preserve">combiner unless a more complex one is clearly better, and the final model is evaluated once on the</w:t>
      </w:r>
      <w:r>
        <w:t xml:space="preserve"> </w:t>
      </w:r>
      <w:r>
        <w:t xml:space="preserve">held-out PTB-XL test fold over three random seeds.</w:t>
      </w:r>
    </w:p>
    <w:p>
      <w:pPr>
        <w:pStyle w:val="BodyText"/>
      </w:pPr>
      <w:r>
        <w:t xml:space="preserve">The major contributions of this work are as follows.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One-shot federated aggregation of heterogeneous clients:</w:t>
      </w:r>
      <w:r>
        <w:t xml:space="preserve"> </w:t>
      </w:r>
      <w:r>
        <w:t xml:space="preserve">Four clients train</w:t>
      </w:r>
      <w:r>
        <w:t xml:space="preserve"> </w:t>
      </w:r>
      <w:r>
        <w:t xml:space="preserve">structurally different networks (a 1D CNN, a 1D ResNet, a BiLSTM and a CNN-LSTM) on disjoint,</w:t>
      </w:r>
      <w:r>
        <w:t xml:space="preserve"> </w:t>
      </w:r>
      <w:r>
        <w:t xml:space="preserve">patient-level shares of PTB-XL, and only calibrated probabilities are exchanged, so no parameter</w:t>
      </w:r>
      <w:r>
        <w:t xml:space="preserve"> </w:t>
      </w:r>
      <w:r>
        <w:t xml:space="preserve">averaging and no common architecture are required.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Calibrated simplex gate with parsimony-first selection:</w:t>
      </w:r>
      <w:r>
        <w:t xml:space="preserve"> </w:t>
      </w:r>
      <w:r>
        <w:t xml:space="preserve">Equal weights, learned</w:t>
      </w:r>
      <w:r>
        <w:t xml:space="preserve"> </w:t>
      </w:r>
      <w:r>
        <w:t xml:space="preserve">static weights and a per-patient dynamic gate are fitted on patient-grouped cross-validation</w:t>
      </w:r>
      <w:r>
        <w:t xml:space="preserve"> </w:t>
      </w:r>
      <w:r>
        <w:t xml:space="preserve">predictions, and a more complex combiner is adopted only if it improves the validation macro AUROC</w:t>
      </w:r>
      <w:r>
        <w:t xml:space="preserve"> </w:t>
      </w:r>
      <w:r>
        <w:t xml:space="preserve">by at least 0.002.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Rigorous multi-seed evaluation against strong references:</w:t>
      </w:r>
      <w:r>
        <w:t xml:space="preserve"> </w:t>
      </w:r>
      <w:r>
        <w:t xml:space="preserve">Over three seeds the</w:t>
      </w:r>
      <w:r>
        <w:t xml:space="preserve"> </w:t>
      </w:r>
      <w:r>
        <w:t xml:space="preserve">selected gate reaches a test macro AUROC of 0.905 and improves on the best single client in every</w:t>
      </w:r>
      <w:r>
        <w:t xml:space="preserve"> </w:t>
      </w:r>
      <w:r>
        <w:t xml:space="preserve">seed (paired bootstrap), and it is compared with traditional classifiers on 172 hand-crafted</w:t>
      </w:r>
      <w:r>
        <w:t xml:space="preserve"> </w:t>
      </w:r>
      <w:r>
        <w:t xml:space="preserve">features and with FedAvg, FedProx, SCAFFOLD and FedNova on the same partitions, remaining within</w:t>
      </w:r>
      <w:r>
        <w:t xml:space="preserve"> </w:t>
      </w:r>
      <w:r>
        <w:t xml:space="preserve">0.002 AUROC of FedAvg with a single communication round.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Client-level ablation and attribution:</w:t>
      </w:r>
      <w:r>
        <w:t xml:space="preserve"> </w:t>
      </w:r>
      <w:r>
        <w:t xml:space="preserve">All 15 client subsets are evaluated and</w:t>
      </w:r>
      <w:r>
        <w:t xml:space="preserve"> </w:t>
      </w:r>
      <w:r>
        <w:t xml:space="preserve">the contribution of each institution is quantified with Shapley values, showing why learned</w:t>
      </w:r>
      <w:r>
        <w:t xml:space="preserve"> </w:t>
      </w:r>
      <w:r>
        <w:t xml:space="preserve">weights that discard weaker clients lose to equal weighting.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Explainability and safe automation:</w:t>
      </w:r>
      <w:r>
        <w:t xml:space="preserve"> </w:t>
      </w:r>
      <w:r>
        <w:t xml:space="preserve">Integrated Gradients attribute each superclass</w:t>
      </w:r>
      <w:r>
        <w:t xml:space="preserve"> </w:t>
      </w:r>
      <w:r>
        <w:t xml:space="preserve">prediction to leads and time, and per-finding rule-in/rule-out bands fitted on validation data</w:t>
      </w:r>
      <w:r>
        <w:t xml:space="preserve"> </w:t>
      </w:r>
      <w:r>
        <w:t xml:space="preserve">automate 53.7% of findings with a precision of 0.937 and an accuracy of 0.967 while referring the</w:t>
      </w:r>
      <w:r>
        <w:t xml:space="preserve"> </w:t>
      </w:r>
      <w:r>
        <w:t xml:space="preserve">remaining findings to a cardiologist.</w:t>
      </w:r>
    </w:p>
    <w:p>
      <w:pPr>
        <w:pStyle w:val="FirstParagraph"/>
      </w:pPr>
      <w:r>
        <w:t xml:space="preserve">The rest of this paper is organized as follows. Section II reviews recent unimodal,</w:t>
      </w:r>
      <w:r>
        <w:t xml:space="preserve"> </w:t>
      </w:r>
      <w:r>
        <w:t xml:space="preserve">multimodal, federated and explainable approaches to ECG and clinical classification.</w:t>
      </w:r>
      <w:r>
        <w:t xml:space="preserve"> </w:t>
      </w:r>
      <w:r>
        <w:t xml:space="preserve">Section III describes the proposed model, including preprocessing, the client</w:t>
      </w:r>
      <w:r>
        <w:t xml:space="preserve"> </w:t>
      </w:r>
      <w:r>
        <w:t xml:space="preserve">networks, the federated aggregation and the explainability methods. Section IV</w:t>
      </w:r>
      <w:r>
        <w:t xml:space="preserve"> </w:t>
      </w:r>
      <w:r>
        <w:t xml:space="preserve">presents the dataset, the experimental setup, the comparisons, the ablation experiments, the</w:t>
      </w:r>
      <w:r>
        <w:t xml:space="preserve"> </w:t>
      </w:r>
      <w:r>
        <w:t xml:space="preserve">federated and class-wise analyses and the explainability results. Section V</w:t>
      </w:r>
      <w:r>
        <w:t xml:space="preserve"> </w:t>
      </w:r>
      <w:r>
        <w:t xml:space="preserve">concludes the paper and outlines future work.</w:t>
      </w:r>
    </w:p>
    <w:bookmarkEnd w:id="9"/>
    <w:bookmarkStart w:id="15" w:name="ii.-related-work"/>
    <w:p>
      <w:pPr>
        <w:pStyle w:val="Heading1"/>
      </w:pPr>
      <w:r>
        <w:t xml:space="preserve">II. Related Work</w:t>
      </w:r>
    </w:p>
    <w:p>
      <w:pPr>
        <w:pStyle w:val="FirstParagraph"/>
      </w:pPr>
      <w:r>
        <w:t xml:space="preserve">This section reviews peer-reviewed studies published between 2022 and 2026 that are closest to</w:t>
      </w:r>
      <w:r>
        <w:t xml:space="preserve"> </w:t>
      </w:r>
      <w:r>
        <w:t xml:space="preserve">the present work. They are grouped into unimodal deep-learning approaches for the ECG, multimodal</w:t>
      </w:r>
      <w:r>
        <w:t xml:space="preserve"> </w:t>
      </w:r>
      <w:r>
        <w:t xml:space="preserve">approaches, federated-learning approaches and explainable approaches. The reported figures are</w:t>
      </w:r>
      <w:r>
        <w:t xml:space="preserve"> </w:t>
      </w:r>
      <w:r>
        <w:t xml:space="preserve">those stated by the respective authors on their own datasets and splits; they are therefore not</w:t>
      </w:r>
      <w:r>
        <w:t xml:space="preserve"> </w:t>
      </w:r>
      <w:r>
        <w:t xml:space="preserve">directly comparable with each other, and the metric is named whenever it is not accuracy.</w:t>
      </w:r>
      <w:r>
        <w:t xml:space="preserve"> </w:t>
      </w:r>
      <w:r>
        <w:t xml:space="preserve">Table I summarises the review.</w:t>
      </w:r>
    </w:p>
    <w:bookmarkStart w:id="10" w:name="a.-unimodal-mldl-approaches"/>
    <w:p>
      <w:pPr>
        <w:pStyle w:val="Heading2"/>
      </w:pPr>
      <w:r>
        <w:t xml:space="preserve">A. Unimodal ML/DL Approaches</w:t>
      </w:r>
    </w:p>
    <w:p>
      <w:pPr>
        <w:pStyle w:val="FirstParagraph"/>
      </w:pPr>
      <w:r>
        <w:t xml:space="preserve">Mehari and Strodthoff (2022)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 </w:t>
      </w:r>
      <w:r>
        <w:t xml:space="preserve">proposed adapting contrastive predictive coding,</w:t>
      </w:r>
      <w:r>
        <w:t xml:space="preserve"> </w:t>
      </w:r>
      <w:r>
        <w:t xml:space="preserve">SimCLR, BYOL and SwAV to 12-lead ECGs from PTB-XL and achieved a macro AUROC of 94.18% on the</w:t>
      </w:r>
      <w:r>
        <w:t xml:space="preserve"> </w:t>
      </w:r>
      <w:r>
        <w:t xml:space="preserve">71-statement task after self-supervised pretraining and fine-tuning, but the gain over supervised</w:t>
      </w:r>
      <w:r>
        <w:t xml:space="preserve"> </w:t>
      </w:r>
      <w:r>
        <w:t xml:space="preserve">training was about one percentage point and the pretraining relied on pooling several large public</w:t>
      </w:r>
      <w:r>
        <w:t xml:space="preserve"> </w:t>
      </w:r>
      <w:r>
        <w:t xml:space="preserve">corpora at one site. Na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</w:t>
      </w:r>
      <w:r>
        <w:t xml:space="preserve"> </w:t>
      </w:r>
      <w:r>
        <w:t xml:space="preserve">[</w:t>
      </w:r>
      <w:r>
        <w:t xml:space="preserve">8</w:t>
      </w:r>
      <w:r>
        <w:t xml:space="preserve">]</w:t>
      </w:r>
      <w:r>
        <w:t xml:space="preserve"> </w:t>
      </w:r>
      <w:r>
        <w:t xml:space="preserve">proposed ST-MEM, a</w:t>
      </w:r>
      <w:r>
        <w:t xml:space="preserve"> </w:t>
      </w:r>
      <w:r>
        <w:t xml:space="preserve">spatio-temporal masked auto-encoder, using PTB-XL for evaluation on the five diagnostic</w:t>
      </w:r>
      <w:r>
        <w:t xml:space="preserve"> </w:t>
      </w:r>
      <w:r>
        <w:t xml:space="preserve">superclasses and achieved 82.5% accuracy and a macro AUROC of 93.3% after fine-tuning, but the</w:t>
      </w:r>
      <w:r>
        <w:t xml:space="preserve"> </w:t>
      </w:r>
      <w:r>
        <w:t xml:space="preserve">method requires large-scale centralised pretraining and does not explain its decisions. Mehari and</w:t>
      </w:r>
      <w:r>
        <w:t xml:space="preserve"> </w:t>
      </w:r>
      <w:r>
        <w:t xml:space="preserve">Strodthoff (2023)</w:t>
      </w:r>
      <w:r>
        <w:t xml:space="preserve"> </w:t>
      </w:r>
      <w:r>
        <w:t xml:space="preserve">[</w:t>
      </w:r>
      <w:r>
        <w:t xml:space="preserve">9</w:t>
      </w:r>
      <w:r>
        <w:t xml:space="preserve">]</w:t>
      </w:r>
      <w:r>
        <w:t xml:space="preserve"> </w:t>
      </w:r>
      <w:r>
        <w:t xml:space="preserve">proposed structured state space (S4) models for the raw</w:t>
      </w:r>
      <w:r>
        <w:t xml:space="preserve"> </w:t>
      </w:r>
      <w:r>
        <w:t xml:space="preserve">12-lead signal and achieved a macro AUROC of 94.17% on the PTB-XL 71-statement task from the</w:t>
      </w:r>
      <w:r>
        <w:t xml:space="preserve"> </w:t>
      </w:r>
      <w:r>
        <w:t xml:space="preserve">signal alone, but the model was trained on a single pooled dataset and its comparison with</w:t>
      </w:r>
      <w:r>
        <w:t xml:space="preserve"> </w:t>
      </w:r>
      <w:r>
        <w:t xml:space="preserve">convolutional baselines was limited to centralised training. Together these studies establish</w:t>
      </w:r>
      <w:r>
        <w:t xml:space="preserve"> </w:t>
      </w:r>
      <w:r>
        <w:t xml:space="preserve">strong single-site baselines, yet each assumes that all training records can be gathered in one</w:t>
      </w:r>
      <w:r>
        <w:t xml:space="preserve"> </w:t>
      </w:r>
      <w:r>
        <w:t xml:space="preserve">place.</w:t>
      </w:r>
    </w:p>
    <w:bookmarkEnd w:id="10"/>
    <w:bookmarkStart w:id="11" w:name="b.-multimodal-approaches"/>
    <w:p>
      <w:pPr>
        <w:pStyle w:val="Heading2"/>
      </w:pPr>
      <w:r>
        <w:t xml:space="preserve">B. Multimodal Approaches</w:t>
      </w:r>
    </w:p>
    <w:p>
      <w:pPr>
        <w:pStyle w:val="FirstParagraph"/>
      </w:pPr>
      <w:r>
        <w:t xml:space="preserve">Mehari and Strodthoff (2023)</w:t>
      </w:r>
      <w:r>
        <w:t xml:space="preserve"> </w:t>
      </w:r>
      <w:r>
        <w:t xml:space="preserve">[</w:t>
      </w:r>
      <w:r>
        <w:t xml:space="preserve">9</w:t>
      </w:r>
      <w:r>
        <w:t xml:space="preserve">]</w:t>
      </w:r>
      <w:r>
        <w:t xml:space="preserve"> </w:t>
      </w:r>
      <w:r>
        <w:t xml:space="preserve">also proposed fusing basic demographic metadata</w:t>
      </w:r>
      <w:r>
        <w:t xml:space="preserve"> </w:t>
      </w:r>
      <w:r>
        <w:t xml:space="preserve">with the ECG representation of a pretrained S4 model on PTB-XL and achieved a macro AUROC of</w:t>
      </w:r>
      <w:r>
        <w:t xml:space="preserve"> </w:t>
      </w:r>
      <w:r>
        <w:t xml:space="preserve">94.63%, but the metadata improved the result by only 0.18 percentage points and the fusion was</w:t>
      </w:r>
      <w:r>
        <w:t xml:space="preserve"> </w:t>
      </w:r>
      <w:r>
        <w:t xml:space="preserve">again centralised. Li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</w:t>
      </w:r>
      <w:r>
        <w:t xml:space="preserve"> </w:t>
      </w:r>
      <w:r>
        <w:t xml:space="preserve">[</w:t>
      </w:r>
      <w:r>
        <w:t xml:space="preserve">10</w:t>
      </w:r>
      <w:r>
        <w:t xml:space="preserve">]</w:t>
      </w:r>
      <w:r>
        <w:t xml:space="preserve"> </w:t>
      </w:r>
      <w:r>
        <w:t xml:space="preserve">proposed METS, which aligns ECG</w:t>
      </w:r>
      <w:r>
        <w:t xml:space="preserve"> </w:t>
      </w:r>
      <w:r>
        <w:t xml:space="preserve">signals with automatically generated reports through a frozen language model, using PTB-XL and</w:t>
      </w:r>
      <w:r>
        <w:t xml:space="preserve"> </w:t>
      </w:r>
      <w:r>
        <w:t xml:space="preserve">achieved 84.2% zero-shot accuracy on the superclass task, but its macro F1 of 65.7% remained below</w:t>
      </w:r>
      <w:r>
        <w:t xml:space="preserve"> </w:t>
      </w:r>
      <w:r>
        <w:t xml:space="preserve">the 77.6% of a supervised ResNet-18 reported in the same study. Liu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</w:t>
      </w:r>
      <w:r>
        <w:t xml:space="preserve"> </w:t>
      </w:r>
      <w:r>
        <w:t xml:space="preserve">[</w:t>
      </w:r>
      <w:r>
        <w:t xml:space="preserve">11</w:t>
      </w:r>
      <w:r>
        <w:t xml:space="preserve">]</w:t>
      </w:r>
      <w:r>
        <w:t xml:space="preserve"> </w:t>
      </w:r>
      <w:r>
        <w:t xml:space="preserve">proposed MERL, an ECG–report multimodal pretraining method with test-time</w:t>
      </w:r>
      <w:r>
        <w:t xml:space="preserve"> </w:t>
      </w:r>
      <w:r>
        <w:t xml:space="preserve">clinical-knowledge prompts, using MIMIC-ECG for pretraining and six public datasets for evaluation</w:t>
      </w:r>
      <w:r>
        <w:t xml:space="preserve"> </w:t>
      </w:r>
      <w:r>
        <w:t xml:space="preserve">and achieved an average zero-shot AUROC of 75.2%, but zero-shot performance stays well below</w:t>
      </w:r>
      <w:r>
        <w:t xml:space="preserve"> </w:t>
      </w:r>
      <w:r>
        <w:t xml:space="preserve">supervised fine-tuning and the method needs paired free-text reports for every training ECG.</w:t>
      </w:r>
      <w:r>
        <w:t xml:space="preserve"> </w:t>
      </w:r>
      <w:r>
        <w:t xml:space="preserve">Palakayala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</w:t>
      </w:r>
      <w:r>
        <w:t xml:space="preserve"> </w:t>
      </w:r>
      <w:r>
        <w:t xml:space="preserve">[</w:t>
      </w:r>
      <w:r>
        <w:t xml:space="preserve">18</w:t>
      </w:r>
      <w:r>
        <w:t xml:space="preserve">]</w:t>
      </w:r>
      <w:r>
        <w:t xml:space="preserve"> </w:t>
      </w:r>
      <w:r>
        <w:t xml:space="preserve">proposed HAMF, a hierarchical</w:t>
      </w:r>
      <w:r>
        <w:t xml:space="preserve"> </w:t>
      </w:r>
      <w:r>
        <w:t xml:space="preserve">attention-based fusion of MRI, gait and speech for Parkinson’s disease, using PPMI, PhysioNet and</w:t>
      </w:r>
      <w:r>
        <w:t xml:space="preserve"> </w:t>
      </w:r>
      <w:r>
        <w:t xml:space="preserve">voice repositories and achieved 94.2% accuracy, but the modalities were compiled from different</w:t>
      </w:r>
      <w:r>
        <w:t xml:space="preserve"> </w:t>
      </w:r>
      <w:r>
        <w:t xml:space="preserve">cohorts rather than acquired from the same patients and the model was trained centrally. These</w:t>
      </w:r>
      <w:r>
        <w:t xml:space="preserve"> </w:t>
      </w:r>
      <w:r>
        <w:t xml:space="preserve">studies show that additional modalities can help, but also that every modality must be available</w:t>
      </w:r>
      <w:r>
        <w:t xml:space="preserve"> </w:t>
      </w:r>
      <w:r>
        <w:t xml:space="preserve">for each patient at one site.</w:t>
      </w:r>
    </w:p>
    <w:bookmarkEnd w:id="11"/>
    <w:bookmarkStart w:id="12" w:name="c.-federated-learning-approaches"/>
    <w:p>
      <w:pPr>
        <w:pStyle w:val="Heading2"/>
      </w:pPr>
      <w:r>
        <w:t xml:space="preserve">C. Federated Learning Approaches</w:t>
      </w:r>
    </w:p>
    <w:p>
      <w:pPr>
        <w:pStyle w:val="FirstParagraph"/>
      </w:pPr>
      <w:r>
        <w:t xml:space="preserve">Raza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(2022)</w:t>
      </w:r>
      <w:r>
        <w:t xml:space="preserve"> </w:t>
      </w:r>
      <w:r>
        <w:t xml:space="preserve">[</w:t>
      </w:r>
      <w:r>
        <w:t xml:space="preserve">19</w:t>
      </w:r>
      <w:r>
        <w:t xml:space="preserve">]</w:t>
      </w:r>
      <w:r>
        <w:t xml:space="preserve"> </w:t>
      </w:r>
      <w:r>
        <w:t xml:space="preserve">proposed a federated transfer-learning framework with</w:t>
      </w:r>
      <w:r>
        <w:t xml:space="preserve"> </w:t>
      </w:r>
      <w:r>
        <w:t xml:space="preserve">a convolutional auto-encoder and an explanation module, using the MIT-BIH arrhythmia database and</w:t>
      </w:r>
      <w:r>
        <w:t xml:space="preserve"> </w:t>
      </w:r>
      <w:r>
        <w:t xml:space="preserve">achieved 98.9% accuracy on clean signals (94.5% on noisy signals), but the evaluation used</w:t>
      </w:r>
      <w:r>
        <w:t xml:space="preserve"> </w:t>
      </w:r>
      <w:r>
        <w:t xml:space="preserve">five-fold cross-validation on beats of a 48-record database rather than patient-level 12-lead</w:t>
      </w:r>
      <w:r>
        <w:t xml:space="preserve"> </w:t>
      </w:r>
      <w:r>
        <w:t xml:space="preserve">diagnosis. Goto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(2022)</w:t>
      </w:r>
      <w:r>
        <w:t xml:space="preserve"> </w:t>
      </w:r>
      <w:r>
        <w:t xml:space="preserve">[</w:t>
      </w:r>
      <w:r>
        <w:t xml:space="preserve">20</w:t>
      </w:r>
      <w:r>
        <w:t xml:space="preserve">]</w:t>
      </w:r>
      <w:r>
        <w:t xml:space="preserve"> </w:t>
      </w:r>
      <w:r>
        <w:t xml:space="preserve">proposed multinational FL for ECG and</w:t>
      </w:r>
      <w:r>
        <w:t xml:space="preserve"> </w:t>
      </w:r>
      <w:r>
        <w:t xml:space="preserve">echocardiogram models across three hospitals in the United States and Japan and achieved AUROCs of</w:t>
      </w:r>
      <w:r>
        <w:t xml:space="preserve"> </w:t>
      </w:r>
      <w:r>
        <w:t xml:space="preserve">90%–96% on internal test sets and 93% on an external site for hypertrophic cardiomyopathy, but</w:t>
      </w:r>
      <w:r>
        <w:t xml:space="preserve"> </w:t>
      </w:r>
      <w:r>
        <w:t xml:space="preserve">all sites trained the same architecture and the task was a single binary diagnosis. Quan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</w:t>
      </w:r>
      <w:r>
        <w:t xml:space="preserve"> </w:t>
      </w:r>
      <w:r>
        <w:t xml:space="preserve">[</w:t>
      </w:r>
      <w:r>
        <w:t xml:space="preserve">21</w:t>
      </w:r>
      <w:r>
        <w:t xml:space="preserve">]</w:t>
      </w:r>
      <w:r>
        <w:t xml:space="preserve"> </w:t>
      </w:r>
      <w:r>
        <w:t xml:space="preserve">proposed FedOcw, which optimises client-specific</w:t>
      </w:r>
      <w:r>
        <w:t xml:space="preserve"> </w:t>
      </w:r>
      <w:r>
        <w:t xml:space="preserve">aggregation weights in every round, using five multilingual speech corpora for Parkinson’s disease</w:t>
      </w:r>
      <w:r>
        <w:t xml:space="preserve"> </w:t>
      </w:r>
      <w:r>
        <w:t xml:space="preserve">and achieved 74.81% accuracy in the Spanish–Italian scenario, outperforming FedAvg, FedProx,</w:t>
      </w:r>
      <w:r>
        <w:t xml:space="preserve"> </w:t>
      </w:r>
      <w:r>
        <w:t xml:space="preserve">SCAFFOLD and FedNova, but the method still averages parameters of an identical network over 100</w:t>
      </w:r>
      <w:r>
        <w:t xml:space="preserve"> </w:t>
      </w:r>
      <w:r>
        <w:t xml:space="preserve">rounds. Sathi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</w:t>
      </w:r>
      <w:r>
        <w:t xml:space="preserve"> </w:t>
      </w:r>
      <w:r>
        <w:t xml:space="preserve">[</w:t>
      </w:r>
      <w:r>
        <w:t xml:space="preserve">22</w:t>
      </w:r>
      <w:r>
        <w:t xml:space="preserve">]</w:t>
      </w:r>
      <w:r>
        <w:t xml:space="preserve"> </w:t>
      </w:r>
      <w:r>
        <w:t xml:space="preserve">proposed explainable FL on ECG fiducial</w:t>
      </w:r>
      <w:r>
        <w:t xml:space="preserve"> </w:t>
      </w:r>
      <w:r>
        <w:t xml:space="preserve">features with SHAP and LIME, using the MIT-BIH, European ST-T and Fantasia databases and achieved</w:t>
      </w:r>
      <w:r>
        <w:t xml:space="preserve"> </w:t>
      </w:r>
      <w:r>
        <w:t xml:space="preserve">92.3% accuracy, but the clients shared one model family and the reported accuracies vary between</w:t>
      </w:r>
      <w:r>
        <w:t xml:space="preserve"> </w:t>
      </w:r>
      <w:r>
        <w:t xml:space="preserve">sections of the study. In all of these studies the clients are required to train the same model and</w:t>
      </w:r>
      <w:r>
        <w:t xml:space="preserve"> </w:t>
      </w:r>
      <w:r>
        <w:t xml:space="preserve">to communicate repeatedly.</w:t>
      </w:r>
    </w:p>
    <w:bookmarkEnd w:id="12"/>
    <w:bookmarkStart w:id="13" w:name="d.-explainable-ai-approaches"/>
    <w:p>
      <w:pPr>
        <w:pStyle w:val="Heading2"/>
      </w:pPr>
      <w:r>
        <w:t xml:space="preserve">D. Explainable AI Approaches</w:t>
      </w:r>
    </w:p>
    <w:p>
      <w:pPr>
        <w:pStyle w:val="FirstParagraph"/>
      </w:pPr>
      <w:r>
        <w:t xml:space="preserve">Jahmunah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(2022)</w:t>
      </w:r>
      <w:r>
        <w:t xml:space="preserve"> </w:t>
      </w:r>
      <w:r>
        <w:t xml:space="preserve">[</w:t>
      </w:r>
      <w:r>
        <w:t xml:space="preserve">23</w:t>
      </w:r>
      <w:r>
        <w:t xml:space="preserve">]</w:t>
      </w:r>
      <w:r>
        <w:t xml:space="preserve"> </w:t>
      </w:r>
      <w:r>
        <w:t xml:space="preserve">proposed DenseNet and CNN models with</w:t>
      </w:r>
      <w:r>
        <w:t xml:space="preserve"> </w:t>
      </w:r>
      <w:r>
        <w:t xml:space="preserve">Grad-CAM, using the PTB diagnostic database to separate healthy subjects from ten MI locations and</w:t>
      </w:r>
      <w:r>
        <w:t xml:space="preserve"> </w:t>
      </w:r>
      <w:r>
        <w:t xml:space="preserve">achieved accuracies above 95%, but the data came from a small cohort and the heat maps were assessed</w:t>
      </w:r>
      <w:r>
        <w:t xml:space="preserve"> </w:t>
      </w:r>
      <w:r>
        <w:t xml:space="preserve">only qualitatively. Wagner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</w:t>
      </w:r>
      <w:r>
        <w:t xml:space="preserve"> </w:t>
      </w:r>
      <w:r>
        <w:t xml:space="preserve">[</w:t>
      </w:r>
      <w:r>
        <w:t xml:space="preserve">17</w:t>
      </w:r>
      <w:r>
        <w:t xml:space="preserve">]</w:t>
      </w:r>
      <w:r>
        <w:t xml:space="preserve"> </w:t>
      </w:r>
      <w:r>
        <w:t xml:space="preserve">proposed a set of building</w:t>
      </w:r>
      <w:r>
        <w:t xml:space="preserve"> </w:t>
      </w:r>
      <w:r>
        <w:t xml:space="preserve">blocks for auditing ECG models, comparing local attributions with concept-based global analyses on</w:t>
      </w:r>
      <w:r>
        <w:t xml:space="preserve"> </w:t>
      </w:r>
      <w:r>
        <w:t xml:space="preserve">PTB-XL, and reported that saliency was the only attribution method that passed all of their sanity</w:t>
      </w:r>
      <w:r>
        <w:t xml:space="preserve"> </w:t>
      </w:r>
      <w:r>
        <w:t xml:space="preserve">checks, but the study focuses on the explanation methods and does not propose a new classifier.</w:t>
      </w:r>
      <w:r>
        <w:t xml:space="preserve"> </w:t>
      </w:r>
      <w:r>
        <w:t xml:space="preserve">Pantelidis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 </w:t>
      </w:r>
      <w:r>
        <w:t xml:space="preserve">proposed ECG-XPLAIM, an inception-style</w:t>
      </w:r>
      <w:r>
        <w:t xml:space="preserve"> </w:t>
      </w:r>
      <w:r>
        <w:t xml:space="preserve">1D CNN with Grad-CAM trained on MIMIC-IV and externally validated on PTB-XL, and achieved a macro</w:t>
      </w:r>
      <w:r>
        <w:t xml:space="preserve"> </w:t>
      </w:r>
      <w:r>
        <w:t xml:space="preserve">AUROC of 98% for conduction disturbances, but the model addresses selected arrhythmias and its</w:t>
      </w:r>
      <w:r>
        <w:t xml:space="preserve"> </w:t>
      </w:r>
      <w:r>
        <w:t xml:space="preserve">sensitivity for long-QT detection was only 69.1%. Explainability is increasingly expected, yet it</w:t>
      </w:r>
      <w:r>
        <w:t xml:space="preserve"> </w:t>
      </w:r>
      <w:r>
        <w:t xml:space="preserve">is rarely combined with a privacy-preserving training scheme or with a mechanism that decides which</w:t>
      </w:r>
      <w:r>
        <w:t xml:space="preserve"> </w:t>
      </w:r>
      <w:r>
        <w:t xml:space="preserve">predictions should be referred to a clinician.</w:t>
      </w:r>
    </w:p>
    <w:p>
      <w:pPr>
        <w:pStyle w:val="TableCaption"/>
      </w:pPr>
      <w:r>
        <w:t xml:space="preserve">TABLE I. Summary of related work (reported figures are the authors’ own; metric named when not accuracy)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I. Summary of related work (reported figures are the authors’ own; metric named when not accuracy)"/>
        <w:tblW w:w="5000" w:type="pct"/>
        <w:tblBorders>
          <w:top w:val="single" w:sz="12" w:color="000000"/>
          <w:bottom w:val="single" w:sz="12" w:color="000000"/>
        </w:tblBorders>
      </w:tblPr>
      <w:tblGrid>
        <w:gridCol w:w="1283"/>
        <w:gridCol w:w="1615"/>
        <w:gridCol w:w="1615"/>
        <w:gridCol w:w="1615"/>
        <w:gridCol w:w="1615"/>
        <w:gridCol w:w="1615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Ref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Author &amp; Year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Dataset / Modality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Model / Method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Accuracy (%)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Limitation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7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Mehari &amp; Strodthoff, 2022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PTB-XL; 12-lead ECG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CPC self-supervised pretraining + LSTM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94.18 (macro AUROC)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Centralised pretraining on pooled corpora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8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Na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PTB-XL superclasses; ECG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ST-MEM masked auto-encoder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82.5 (AUROC 93.3)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Large centralised pretraining; no explanations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9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Mehari &amp; Strodthoff, 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PTB-XL; ECG (+ metadata)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S4 state space model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94.17 / 94.63 (macro AUROC)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Single site; metadata adds 0.18 points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10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Li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PTB-XL; ECG + report text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METS, frozen language model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84.2 (zero-shot)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F1 65.7 below supervised ResNet-18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11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Liu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MIMIC-ECG + 6 datasets; ECG + text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MERL multimodal pretraining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75.2 (avg. zero-shot AUROC)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Needs paired reports; below fine-tuning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18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Palakayala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PPMI, PhysioNet, voice; MRI, gait, speech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HAMF hierarchical attention fusion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94.2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Modalities from different cohorts; centralised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19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Raza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MIT-BIH; single-lead beats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Federated transfer learning + XAI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98.9 (clean), 94.5 (noisy)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Beat-level task; same model on all clients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20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Goto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 hospitals; ECG, echo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Multinational FL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90–96 (AUROC)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Binary task; homogeneous architectures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21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Quan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 speech corpora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FedOcw optimised client weights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74.81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100 rounds of parameter averaging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22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Sathi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MIT-BIH, ST-T, Fantasia; fiducial features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Explainable FL with SHAP/LIME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Hand-crafted features; inconsistent reporting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23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Jahmunah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PTB; 12-lead ECG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DenseNet/CNN + Grad-CAM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rPr>
                <w:sz w:val="18"/>
              </w:rPr>
              <w:t xml:space="preserve">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Small cohort; qualitative heat maps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17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Wagner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PTB-XL; 12-lead ECG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Attribution sanity checks, concept analysis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– (not reported)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Explanation study, no new classifier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24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Pantelidis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et al.</w:t>
            </w:r>
            <w:r>
              <w:rPr>
                <w:sz w:val="18"/>
              </w:rPr>
              <w:t xml:space="preserve">, 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MIMIC-IV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PTB-XL; ECG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ECG-XPLAIM 1D CNN + Grad-CAM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98 (macro AUROC, CD)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Selected arrhythmias; LQT sensitivity 69.1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This work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PTB-XL superclasses; 12-lead ECG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One-shot federated gate over 4 heterogeneous clients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86.9 (label-wise); AUROC 90.5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See Section IV-H</w:t>
            </w:r>
          </w:p>
        </w:tc>
      </w:tr>
    </w:tbl>
    <w:bookmarkEnd w:id="13"/>
    <w:bookmarkStart w:id="14" w:name="e.-research-gap"/>
    <w:p>
      <w:pPr>
        <w:pStyle w:val="Heading2"/>
      </w:pPr>
      <w:r>
        <w:t xml:space="preserve">E. Research Gap</w:t>
      </w:r>
    </w:p>
    <w:p>
      <w:pPr>
        <w:pStyle w:val="FirstParagraph"/>
      </w:pPr>
      <w:r>
        <w:t xml:space="preserve">The reviewed studies reveal three gaps that motivate this work. Single-site ECG models achieve high</w:t>
      </w:r>
      <w:r>
        <w:t xml:space="preserve"> </w:t>
      </w:r>
      <w:r>
        <w:t xml:space="preserve">AUROC but assume that all records can be pooled. Federated methods remove this assumption but</w:t>
      </w:r>
      <w:r>
        <w:t xml:space="preserve"> </w:t>
      </w:r>
      <w:r>
        <w:t xml:space="preserve">average parameters, so every institution must adopt the same architecture and participate in many</w:t>
      </w:r>
      <w:r>
        <w:t xml:space="preserve"> </w:t>
      </w:r>
      <w:r>
        <w:t xml:space="preserve">synchronised rounds. Explainable models, finally, are seldom combined with privacy-preserving</w:t>
      </w:r>
      <w:r>
        <w:t xml:space="preserve"> </w:t>
      </w:r>
      <w:r>
        <w:t xml:space="preserve">training or with an explicit rule for deferring uncertain findings. The proposed model addresses</w:t>
      </w:r>
      <w:r>
        <w:t xml:space="preserve"> </w:t>
      </w:r>
      <w:r>
        <w:t xml:space="preserve">these gaps by letting each institution train its own architecture once, combining only calibrated</w:t>
      </w:r>
      <w:r>
        <w:t xml:space="preserve"> </w:t>
      </w:r>
      <w:r>
        <w:t xml:space="preserve">probabilities through a validated simplex gate, explaining the combined prediction with</w:t>
      </w:r>
      <w:r>
        <w:t xml:space="preserve"> </w:t>
      </w:r>
      <w:r>
        <w:t xml:space="preserve">attributions on the raw signal, and reporting automatically only those findings for which the</w:t>
      </w:r>
      <w:r>
        <w:t xml:space="preserve"> </w:t>
      </w:r>
      <w:r>
        <w:t xml:space="preserve">validated precision and recall reach the clinical target.</w:t>
      </w:r>
    </w:p>
    <w:bookmarkEnd w:id="14"/>
    <w:bookmarkEnd w:id="15"/>
    <w:bookmarkStart w:id="37" w:name="iii.-proposed-model"/>
    <w:p>
      <w:pPr>
        <w:pStyle w:val="Heading1"/>
      </w:pPr>
      <w:r>
        <w:t xml:space="preserve">III. Proposed Model</w:t>
      </w:r>
    </w:p>
    <w:p>
      <w:pPr>
        <w:pStyle w:val="FirstParagraph"/>
      </w:pPr>
      <w:r>
        <w:t xml:space="preserve">The proposed model, CardioSentinel, classifies a 10-s, 12-lead ECG into the five PTB-XL diagnostic</w:t>
      </w:r>
      <w:r>
        <w:t xml:space="preserve"> </w:t>
      </w:r>
      <w:r>
        <w:t xml:space="preserve">superclasses with a privacy-preserving, one-shot federated scheme. The training records are divided</w:t>
      </w:r>
      <w:r>
        <w:t xml:space="preserve"> </w:t>
      </w:r>
      <w:r>
        <w:t xml:space="preserve">into four disjoint, patient-separated partitions that play the role of four institutions. Each</w:t>
      </w:r>
      <w:r>
        <w:t xml:space="preserve"> </w:t>
      </w:r>
      <w:r>
        <w:t xml:space="preserve">client preprocesses its own recordings identically, trains its own network architecture locally,</w:t>
      </w:r>
      <w:r>
        <w:t xml:space="preserve"> </w:t>
      </w:r>
      <w:r>
        <w:t xml:space="preserve">and calibrates it with a single temperature. The central server never receives signals or</w:t>
      </w:r>
      <w:r>
        <w:t xml:space="preserve"> </w:t>
      </w:r>
      <w:r>
        <w:t xml:space="preserve">parameters; it receives only the calibrated class probabilities of the clients and combines them</w:t>
      </w:r>
      <w:r>
        <w:t xml:space="preserve"> </w:t>
      </w:r>
      <w:r>
        <w:t xml:space="preserve">with weights constrained to the probability simplex. The weighting rule, the per-class decision</w:t>
      </w:r>
      <w:r>
        <w:t xml:space="preserve"> </w:t>
      </w:r>
      <w:r>
        <w:t xml:space="preserve">thresholds and an optional triage band are all fitted on a separate validation fold, and the</w:t>
      </w:r>
      <w:r>
        <w:t xml:space="preserve"> </w:t>
      </w:r>
      <w:r>
        <w:t xml:space="preserve">combined prediction is explained with Integrated Gradients and with Shapley values over clients.</w:t>
      </w:r>
      <w:r>
        <w:t xml:space="preserve"> </w:t>
      </w:r>
      <w:r>
        <w:t xml:space="preserve">The six subsections below describe the architecture, the preprocessing, the features, the</w:t>
      </w:r>
      <w:r>
        <w:t xml:space="preserve"> </w:t>
      </w:r>
      <w:r>
        <w:t xml:space="preserve">classification task, the federated protocol and the explainability methods.</w:t>
      </w:r>
    </w:p>
    <w:bookmarkStart w:id="22" w:name="a.-architecture"/>
    <w:p>
      <w:pPr>
        <w:pStyle w:val="Heading2"/>
      </w:pPr>
      <w:r>
        <w:t xml:space="preserve">A. Architecture</w:t>
      </w:r>
    </w:p>
    <w:p>
      <w:pPr>
        <w:pStyle w:val="FirstParagraph"/>
      </w:pPr>
      <w:r>
        <w:t xml:space="preserve">Fig. 1 shows the architecture.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block at the bottom holds the PTB-XL</w:t>
      </w:r>
      <w:r>
        <w:t xml:space="preserve"> </w:t>
      </w:r>
      <w:r>
        <w:t xml:space="preserve">records, already split by the official stratified folds into four client partitions, a validation</w:t>
      </w:r>
      <w:r>
        <w:t xml:space="preserve"> </w:t>
      </w:r>
      <w:r>
        <w:t xml:space="preserve">fold and a test fold. The</w:t>
      </w:r>
      <w:r>
        <w:t xml:space="preserve"> </w:t>
      </w:r>
      <w:r>
        <w:rPr>
          <w:i/>
          <w:iCs/>
        </w:rPr>
        <w:t xml:space="preserve">pre-processing</w:t>
      </w:r>
      <w:r>
        <w:t xml:space="preserve"> </w:t>
      </w:r>
      <w:r>
        <w:t xml:space="preserve">block applies the same signal pipeline at every</w:t>
      </w:r>
      <w:r>
        <w:t xml:space="preserve"> </w:t>
      </w:r>
      <w:r>
        <w:t xml:space="preserve">client (Section III-B). The</w:t>
      </w:r>
      <w:r>
        <w:t xml:space="preserve"> </w:t>
      </w:r>
      <w:r>
        <w:rPr>
          <w:i/>
          <w:iCs/>
        </w:rPr>
        <w:t xml:space="preserve">feature analysis</w:t>
      </w:r>
      <w:r>
        <w:t xml:space="preserve"> </w:t>
      </w:r>
      <w:r>
        <w:t xml:space="preserve">stage is performed inside each client</w:t>
      </w:r>
      <w:r>
        <w:t xml:space="preserve"> </w:t>
      </w:r>
      <w:r>
        <w:t xml:space="preserve">network, which learns its own representation of the 12 leads (Section III-C). Each of</w:t>
      </w:r>
      <w:r>
        <w:t xml:space="preserve"> </w:t>
      </w:r>
      <w:r>
        <w:t xml:space="preserve">the four</w:t>
      </w:r>
      <w:r>
        <w:t xml:space="preserve"> </w:t>
      </w:r>
      <w:r>
        <w:rPr>
          <w:i/>
          <w:iCs/>
        </w:rPr>
        <w:t xml:space="preserve">local client models</w:t>
      </w:r>
      <w:r>
        <w:t xml:space="preserve"> </w:t>
      </w:r>
      <w:r>
        <w:t xml:space="preserve">ends in its own classifier head, marked C in the figure, that</w:t>
      </w:r>
      <w:r>
        <w:t xml:space="preserve"> </w:t>
      </w:r>
      <w:r>
        <w:t xml:space="preserve">outputs five logits; these are converted into calibrated probabilities with a per-client</w:t>
      </w:r>
      <w:r>
        <w:t xml:space="preserve"> </w:t>
      </w:r>
      <w:r>
        <w:t xml:space="preserve">temperature. The</w:t>
      </w:r>
      <w:r>
        <w:t xml:space="preserve"> </w:t>
      </w:r>
      <w:r>
        <w:rPr>
          <w:i/>
          <w:iCs/>
        </w:rPr>
        <w:t xml:space="preserve">federated server</w:t>
      </w:r>
      <w:r>
        <w:t xml:space="preserve"> </w:t>
      </w:r>
      <w:r>
        <w:t xml:space="preserve">combines the four probability vectors with the simplex</w:t>
      </w:r>
      <w:r>
        <w:t xml:space="preserve"> </w:t>
      </w:r>
      <w:r>
        <w:t xml:space="preserve">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into the</w:t>
      </w:r>
      <w:r>
        <w:t xml:space="preserve"> </w:t>
      </w:r>
      <w:r>
        <w:rPr>
          <w:i/>
          <w:iCs/>
        </w:rPr>
        <w:t xml:space="preserve">global model</w:t>
      </w:r>
      <w:r>
        <w:t xml:space="preserve"> </w:t>
      </w:r>
      <w:r>
        <w:t xml:space="preserve">output, the</w:t>
      </w:r>
      <w:r>
        <w:t xml:space="preserve"> </w:t>
      </w:r>
      <w:r>
        <w:rPr>
          <w:i/>
          <w:iCs/>
        </w:rPr>
        <w:t xml:space="preserve">classification</w:t>
      </w:r>
      <w:r>
        <w:t xml:space="preserve"> </w:t>
      </w:r>
      <w:r>
        <w:t xml:space="preserve">block turns the global</w:t>
      </w:r>
      <w:r>
        <w:t xml:space="preserve"> </w:t>
      </w:r>
      <w:r>
        <w:t xml:space="preserve">probabilities into five binary decisions with per-class thresholds and, optionally, into</w:t>
      </w:r>
      <w:r>
        <w:t xml:space="preserve"> </w:t>
      </w:r>
      <w:r>
        <w:t xml:space="preserve">automatic-or-referred triage decisions, and the</w:t>
      </w:r>
      <w:r>
        <w:t xml:space="preserve"> </w:t>
      </w:r>
      <w:r>
        <w:rPr>
          <w:i/>
          <w:iCs/>
        </w:rPr>
        <w:t xml:space="preserve">explainability</w:t>
      </w:r>
      <w:r>
        <w:t xml:space="preserve"> </w:t>
      </w:r>
      <w:r>
        <w:t xml:space="preserve">block attributes the global</w:t>
      </w:r>
      <w:r>
        <w:t xml:space="preserve"> </w:t>
      </w:r>
      <w:r>
        <w:t xml:space="preserve">output to leads and time.</w:t>
      </w:r>
    </w:p>
    <w:p>
      <w:pPr>
        <w:pStyle w:val="CaptionedFigure"/>
        <w:jc w:val="center"/>
      </w:pPr>
      <w:r>
        <w:drawing>
          <wp:inline>
            <wp:extent cx="5334000" cy="286417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Architecture of the proposed CardioSentinel model. Four clients hold disjoint, patient-separated</w:t>
      </w:r>
      <w:r>
        <w:t xml:space="preserve"> </w:t>
      </w:r>
      <w:r>
        <w:t xml:space="preserve">PTB-XL partitions, apply the same pre-processing, learn their own features with different network</w:t>
      </w:r>
      <w:r>
        <w:t xml:space="preserve"> </w:t>
      </w:r>
      <w:r>
        <w:t xml:space="preserve">architectures and expose only calibrated probabilities through their classifier heads (C). The</w:t>
      </w:r>
      <w:r>
        <w:t xml:space="preserve"> </w:t>
      </w:r>
      <w:r>
        <w:t xml:space="preserve">server combines the probabilities on the simplex, thresholds them per class and explains the global</w:t>
      </w:r>
      <w:r>
        <w:t xml:space="preserve"> </w:t>
      </w:r>
      <w:r>
        <w:t xml:space="preserve">output.</w:t>
      </w:r>
    </w:p>
    <w:p>
      <w:pPr>
        <w:pStyle w:val="BodyText"/>
      </w:pPr>
      <w:r>
        <w:rPr>
          <w:i/>
          <w:iCs/>
        </w:rPr>
        <w:t xml:space="preserve">Model progression.</w:t>
      </w:r>
      <w:r>
        <w:t xml:space="preserve"> </w:t>
      </w:r>
      <w:r>
        <w:t xml:space="preserve">The four clients were deliberately chosen to span the main families of</w:t>
      </w:r>
      <w:r>
        <w:t xml:space="preserve"> </w:t>
      </w:r>
      <w:r>
        <w:t xml:space="preserve">ECG networks, from purely convolutional to purely recurrent, so that their errors are as diverse as</w:t>
      </w:r>
      <w:r>
        <w:t xml:space="preserve"> </w:t>
      </w:r>
      <w:r>
        <w:t xml:space="preserve">possible. Client A is a plain 1D CNN with four blocks of a 7-tap convolution (no bias), batch</w:t>
      </w:r>
      <w:r>
        <w:t xml:space="preserve"> </w:t>
      </w:r>
      <w:r>
        <w:t xml:space="preserve">normalisation, ReLU and max-pooling by two, with 32, 64, 128 and 256 channels. For an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12</m:t>
            </m:r>
            <m:r>
              <m:rPr>
                <m:sty m:val="p"/>
              </m:rPr>
              <m:t>×</m:t>
            </m:r>
            <m:r>
              <m:t>1000</m:t>
            </m:r>
          </m:sup>
        </m:sSup>
      </m:oMath>
      <w:r>
        <w:t xml:space="preserve"> </w:t>
      </w:r>
      <w:r>
        <w:t xml:space="preserve">each block computes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*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final feature map is summarised by concatenated global average and global max pooling,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t</m:t>
                </m:r>
              </m:sub>
            </m:sSub>
          </m:e>
        </m:nary>
        <m:r>
          <m:rPr>
            <m:sty m:val="p"/>
          </m:rPr>
          <m:t>;</m:t>
        </m:r>
        <m:r>
          <m:t> </m:t>
        </m:r>
        <m:sSub>
          <m:e>
            <m:r>
              <m:rPr>
                <m:sty m:val="p"/>
              </m:rPr>
              <m:t>max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. Client B is a 1D ResNet</w:t>
      </w:r>
      <w:r>
        <w:t xml:space="preserve"> </w:t>
      </w:r>
      <w:r>
        <w:t xml:space="preserve">[</w:t>
      </w:r>
      <w:r>
        <w:t xml:space="preserve">25</w:t>
      </w:r>
      <w:r>
        <w:t xml:space="preserve">]</w:t>
      </w:r>
      <w:r>
        <w:t xml:space="preserve"> </w:t>
      </w:r>
      <w:r>
        <w:t xml:space="preserve">with a 7-tap, 64-channel stem and stages of 64, 128, 256 and 256 channels containing 3, 4, 6 and 3</w:t>
      </w:r>
      <w:r>
        <w:t xml:space="preserve"> </w:t>
      </w:r>
      <w:r>
        <w:t xml:space="preserve">residual blocks with 5-tap kernels, in which the last batch normalisation of each block is</w:t>
      </w:r>
      <w:r>
        <w:t xml:space="preserve"> </w:t>
      </w:r>
      <w:r>
        <w:t xml:space="preserve">initialised to zero so that each block starts as the identity,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Client C is a two-layer bidirectional LSTM</w:t>
      </w:r>
      <w:r>
        <w:t xml:space="preserve"> </w:t>
      </w:r>
      <w:r>
        <w:t xml:space="preserve">[</w:t>
      </w:r>
      <w:r>
        <w:t xml:space="preserve">26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27</w:t>
      </w:r>
      <w:r>
        <w:t xml:space="preserve">]</w:t>
      </w:r>
      <w:r>
        <w:t xml:space="preserve"> </w:t>
      </w:r>
      <w:r>
        <w:t xml:space="preserve">with 128</w:t>
      </w:r>
      <w:r>
        <w:t xml:space="preserve"> </w:t>
      </w:r>
      <w:r>
        <w:t xml:space="preserve">hidden units per direction that reads the 1,000 time steps directly; each direction updates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o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o</m:t>
              </m:r>
            </m:sub>
          </m:sSub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forward and backward states are concatenated and pooled with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. Client D is</w:t>
      </w:r>
      <w:r>
        <w:t xml:space="preserve"> </w:t>
      </w:r>
      <w:r>
        <w:t xml:space="preserve">a CNN-LSTM hybrid in which three convolutional blocks (32, 64 and 128 channels) shorten the sequence</w:t>
      </w:r>
      <w:r>
        <w:t xml:space="preserve"> </w:t>
      </w:r>
      <w:r>
        <w:t xml:space="preserve">from 1,000 to 125 steps before a one-layer BiLSTM with 128 hidden units, so that local wave</w:t>
      </w:r>
      <w:r>
        <w:t xml:space="preserve"> </w:t>
      </w:r>
      <w:r>
        <w:t xml:space="preserve">morphology is captured by the convolutions and rhythm context by the recurrence. All clients share</w:t>
      </w:r>
      <w:r>
        <w:t xml:space="preserve"> </w:t>
      </w:r>
      <w:r>
        <w:t xml:space="preserve">the same head,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d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256</m:t>
        </m:r>
        <m:r>
          <m:rPr>
            <m:sty m:val="p"/>
          </m:rPr>
          <m:t>)</m:t>
        </m:r>
        <m:r>
          <m:t>​</m:t>
        </m:r>
        <m:r>
          <m:rPr>
            <m:sty m:val="p"/>
          </m:rPr>
          <m:t>→</m:t>
        </m:r>
        <m:r>
          <m:t>​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t>​</m:t>
        </m:r>
        <m:r>
          <m:rPr>
            <m:sty m:val="p"/>
          </m:rPr>
          <m:t>→</m:t>
        </m:r>
        <m:r>
          <m:t>​</m:t>
        </m:r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t>​</m:t>
        </m:r>
        <m:r>
          <m:rPr>
            <m:sty m:val="p"/>
          </m:rPr>
          <m:t>→</m:t>
        </m:r>
        <m:r>
          <m:t>​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256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5</m:t>
        </m:r>
        <m:r>
          <m:rPr>
            <m:sty m:val="p"/>
          </m:rPr>
          <m:t>)</m:t>
        </m:r>
      </m:oMath>
      <w:r>
        <w:t xml:space="preserve">, and the same training</w:t>
      </w:r>
      <w:r>
        <w:t xml:space="preserve"> </w:t>
      </w:r>
      <w:r>
        <w:t xml:space="preserve">recipe, so that only the architecture and the data differ. On the held-out test fold this</w:t>
      </w:r>
      <w:r>
        <w:t xml:space="preserve"> </w:t>
      </w:r>
      <w:r>
        <w:t xml:space="preserve">progression moves the macro AUROC from 0.882–0.888 for the convolutional clients to 0.894 for the</w:t>
      </w:r>
      <w:r>
        <w:t xml:space="preserve"> </w:t>
      </w:r>
      <w:r>
        <w:t xml:space="preserve">BiLSTM and 0.896 for the CNN-LSTM, and the federated gate over all four reaches 0.905</w:t>
      </w:r>
      <w:r>
        <w:t xml:space="preserve"> </w:t>
      </w:r>
      <w:r>
        <w:t xml:space="preserve">(Section IV-C). An attention-based client was not part of the study.</w:t>
      </w:r>
    </w:p>
    <w:p>
      <w:pPr>
        <w:pStyle w:val="BodyText"/>
      </w:pPr>
      <w:r>
        <w:t xml:space="preserve">Algorithm 1 summarises the complete method, from preprocessing to the explained,</w:t>
      </w:r>
      <w:r>
        <w:t xml:space="preserve"> </w:t>
      </w:r>
      <w:r>
        <w:t xml:space="preserve">triaged prediction.</w:t>
      </w:r>
    </w:p>
    <w:p>
      <w:pPr>
        <w:pStyle w:val="BodyText"/>
        <w:jc w:val="center"/>
      </w:pPr>
      <w:r>
        <w:drawing>
          <wp:inline>
            <wp:extent cx="5334000" cy="1990298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algorithm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b.-preprocessing"/>
    <w:p>
      <w:pPr>
        <w:pStyle w:val="Heading2"/>
      </w:pPr>
      <w:r>
        <w:t xml:space="preserve">B. Preprocessing</w:t>
      </w:r>
    </w:p>
    <w:p>
      <w:pPr>
        <w:pStyle w:val="FirstParagraph"/>
      </w:pPr>
      <w:r>
        <w:t xml:space="preserve">All preprocessing steps are listed in Table II. They are implemented once and executed</w:t>
      </w:r>
      <w:r>
        <w:t xml:space="preserve"> </w:t>
      </w:r>
      <w:r>
        <w:t xml:space="preserve">identically by every client, so no client-specific normalisation statistics are needed and no</w:t>
      </w:r>
      <w:r>
        <w:t xml:space="preserve"> </w:t>
      </w:r>
      <w:r>
        <w:t xml:space="preserve">information crosses client boundaries.</w:t>
      </w:r>
    </w:p>
    <w:p>
      <w:pPr>
        <w:pStyle w:val="BodyText"/>
      </w:pPr>
      <w:r>
        <w:rPr>
          <w:i/>
          <w:iCs/>
        </w:rPr>
        <w:t xml:space="preserve">Label encoding and cleaning.</w:t>
      </w:r>
      <w:r>
        <w:t xml:space="preserve"> </w:t>
      </w:r>
      <w:r>
        <w:t xml:space="preserve">Each record’s SCP-ECG statements are mapped to the</w:t>
      </w:r>
      <w:r>
        <w:t xml:space="preserve"> </w:t>
      </w:r>
      <w:r>
        <w:rPr>
          <w:rStyle w:val="VerbatimChar"/>
        </w:rPr>
        <w:t xml:space="preserve">diagnostic_class</w:t>
      </w:r>
      <w:r>
        <w:t xml:space="preserve"> </w:t>
      </w:r>
      <w:r>
        <w:t xml:space="preserve">column of</w:t>
      </w:r>
      <w:r>
        <w:t xml:space="preserve"> </w:t>
      </w:r>
      <w:r>
        <w:rPr>
          <w:rStyle w:val="VerbatimChar"/>
        </w:rPr>
        <w:t xml:space="preserve">scp_statements.csv</w:t>
      </w:r>
      <w:r>
        <w:t xml:space="preserve">, keeping only the 44 statements</w:t>
      </w:r>
      <w:r>
        <w:t xml:space="preserve"> </w:t>
      </w:r>
      <w:r>
        <w:t xml:space="preserve">flagged as diagnostic, and encoded as a multi-hot vector over (NORM, MI, STTC, CD, HYP). Records</w:t>
      </w:r>
      <w:r>
        <w:t xml:space="preserve"> </w:t>
      </w:r>
      <w:r>
        <w:t xml:space="preserve">without any diagnostic superclass cannot be labelled and are removed, which reduces the 21,799</w:t>
      </w:r>
      <w:r>
        <w:t xml:space="preserve"> </w:t>
      </w:r>
      <w:r>
        <w:t xml:space="preserve">records to 21,388. No other record is excluded.</w:t>
      </w:r>
    </w:p>
    <w:p>
      <w:pPr>
        <w:pStyle w:val="BodyText"/>
      </w:pPr>
      <w:r>
        <w:rPr>
          <w:i/>
          <w:iCs/>
        </w:rPr>
        <w:t xml:space="preserve">Signal cleaning.</w:t>
      </w:r>
      <w:r>
        <w:t xml:space="preserve"> </w:t>
      </w:r>
      <w:r>
        <w:t xml:space="preserve">The 100-Hz waveforms are read with the WFDB library and reordered to I,</w:t>
      </w:r>
      <w:r>
        <w:t xml:space="preserve"> </w:t>
      </w:r>
      <w:r>
        <w:t xml:space="preserve">II, III, aVR, aVL, aVF, V1–V6, matching lead names case-insensitively. Non-finite samples are</w:t>
      </w:r>
      <w:r>
        <w:t xml:space="preserve"> </w:t>
      </w:r>
      <w:r>
        <w:t xml:space="preserve">replaced by zero, and every signal is cropped or zero-padded to exactly 1,000 samples. Baseline</w:t>
      </w:r>
      <w:r>
        <w:t xml:space="preserve"> </w:t>
      </w:r>
      <w:r>
        <w:t xml:space="preserve">wander and high-frequency noise are removed with a third-order Butterworth band-pass filter between</w:t>
      </w:r>
      <w:r>
        <w:t xml:space="preserve"> </w:t>
      </w:r>
      <w:r>
        <w:t xml:space="preserve">0.5 and 40 Hz applied forwards and backwards, so that the filter introduces no phase shift. The</w:t>
      </w:r>
      <w:r>
        <w:t xml:space="preserve"> </w:t>
      </w:r>
      <w:r>
        <w:t xml:space="preserve">filtered signals are stored in millivolts without normalisation.</w:t>
      </w:r>
    </w:p>
    <w:p>
      <w:pPr>
        <w:pStyle w:val="BodyText"/>
      </w:pPr>
      <w:r>
        <w:rPr>
          <w:i/>
          <w:iCs/>
        </w:rPr>
        <w:t xml:space="preserve">Normalisation.</w:t>
      </w:r>
      <w:r>
        <w:t xml:space="preserve"> </w:t>
      </w:r>
      <w:r>
        <w:t xml:space="preserve">At load time each lead of each recording is z-scored with its own mean and</w:t>
      </w:r>
      <w:r>
        <w:t xml:space="preserve"> </w:t>
      </w:r>
      <w:r>
        <w:t xml:space="preserve">standard deviation,</w:t>
      </w:r>
      <w:r>
        <w:t xml:space="preserve"> </w:t>
      </w:r>
      <m:oMath>
        <m:sSubSup>
          <m:e>
            <m:r>
              <m:t>x</m:t>
            </m:r>
          </m:e>
          <m:sub>
            <m:r>
              <m:t>ℓ</m:t>
            </m:r>
            <m:r>
              <m:t>t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ℓ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ℓ</m:t>
            </m:r>
          </m:sub>
        </m:sSub>
      </m:oMath>
      <w:r>
        <w:t xml:space="preserve">, clipped to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, and a</w:t>
      </w:r>
      <w:r>
        <w:t xml:space="preserve"> </w:t>
      </w:r>
      <w:r>
        <w:t xml:space="preserve">lead whose standard deviation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is set to zero. Because the statistics are</w:t>
      </w:r>
      <w:r>
        <w:t xml:space="preserve"> </w:t>
      </w:r>
      <w:r>
        <w:t xml:space="preserve">per-recording, the normalisation needs no shared population statistics, which is essential in the</w:t>
      </w:r>
      <w:r>
        <w:t xml:space="preserve"> </w:t>
      </w:r>
      <w:r>
        <w:t xml:space="preserve">federated setting.</w:t>
      </w:r>
    </w:p>
    <w:p>
      <w:pPr>
        <w:pStyle w:val="BodyText"/>
      </w:pPr>
      <w:r>
        <w:rPr>
          <w:i/>
          <w:iCs/>
        </w:rPr>
        <w:t xml:space="preserve">Augmentation and class balancing.</w:t>
      </w:r>
      <w:r>
        <w:t xml:space="preserve"> </w:t>
      </w:r>
      <w:r>
        <w:t xml:space="preserve">During training only, each signal is multiplied by a</w:t>
      </w:r>
      <w:r>
        <w:t xml:space="preserve"> </w:t>
      </w:r>
      <w:r>
        <w:t xml:space="preserve">random amplitude factor in</w:t>
      </w:r>
      <w:r>
        <w:t xml:space="preserve"> </w:t>
      </w:r>
      <m:oMath>
        <m:r>
          <m:rPr>
            <m:sty m:val="p"/>
          </m:rPr>
          <m:t>[</m:t>
        </m:r>
        <m:r>
          <m:t>0.9</m:t>
        </m:r>
        <m:r>
          <m:rPr>
            <m:sty m:val="p"/>
          </m:rPr>
          <m:t>,</m:t>
        </m:r>
        <m:r>
          <m:t>1.1</m:t>
        </m:r>
        <m:r>
          <m:rPr>
            <m:sty m:val="p"/>
          </m:rPr>
          <m:t>]</m:t>
        </m:r>
      </m:oMath>
      <w:r>
        <w:t xml:space="preserve">, white Gaussian noise is added at a signal-to-noise ratio</w:t>
      </w:r>
      <w:r>
        <w:t xml:space="preserve"> </w:t>
      </w:r>
      <w:r>
        <w:t xml:space="preserve">drawn from 20–30 dB, a sinusoidal baseline wander of 0.1–0.5 Hz with an amplitude of 0.05–0.3</w:t>
      </w:r>
      <w:r>
        <w:t xml:space="preserve"> </w:t>
      </w:r>
      <w:r>
        <w:t xml:space="preserve">standard deviations is added to every lead, and each lead is zeroed with probability 0.05. Class</w:t>
      </w:r>
      <w:r>
        <w:t xml:space="preserve"> </w:t>
      </w:r>
      <w:r>
        <w:t xml:space="preserve">imbalance is handled in the loss rather than by resampling: the positive term of each class is</w:t>
      </w:r>
      <w:r>
        <w:t xml:space="preserve"> </w:t>
      </w:r>
      <w:r>
        <w:t xml:space="preserve">weighted by the ratio of negatives to positives in the client’s training data</w:t>
      </w:r>
      <w:r>
        <w:t xml:space="preserve"> </w:t>
      </w:r>
      <w:r>
        <w:t xml:space="preserve">(Section III-D). Modality alignment is not required because a single modality is used, but</w:t>
      </w:r>
      <w:r>
        <w:t xml:space="preserve"> </w:t>
      </w:r>
      <w:r>
        <w:t xml:space="preserve">all leads are aligned in time by construction.</w:t>
      </w:r>
    </w:p>
    <w:p>
      <w:pPr>
        <w:pStyle w:val="TableCaption"/>
      </w:pPr>
      <w:r>
        <w:t xml:space="preserve">TABLE II. Pre-processing steps and parameters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II. Pre-processing steps and parameters"/>
        <w:tblW w:w="5000" w:type="pct"/>
        <w:tblBorders>
          <w:top w:val="single" w:sz="12" w:color="000000"/>
          <w:bottom w:val="single" w:sz="12" w:color="000000"/>
        </w:tblBorders>
      </w:tblPr>
      <w:tblGrid>
        <w:gridCol w:w="4680"/>
        <w:gridCol w:w="468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Method and parameters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Label encoding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SCP codes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 diagnostic superclasses (44 diagnostic statements); multi-hot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Record cleaning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Remove records without a superclass (21,799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21,388)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Lead order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I, II, III, aVR, aVL, aVF, V1–V6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Missing values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NaN/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Length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100 Hz, crop/zero-pad to 1,000 samples (10 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Filtering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Butterworth band-pass 0.5–40 Hz, order 3, zero-phase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Normalisation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Per-lead, per-record z-score; clip to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10</m:t>
              </m:r>
            </m:oMath>
            <w:r>
              <w:rPr>
                <w:sz w:val="18"/>
              </w:rPr>
              <w:t xml:space="preserve">; flat lead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Augmentation (train)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Amplitude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,</m:t>
              </m:r>
              <m:r>
                <m:t>1.1</m:t>
              </m:r>
              <m:r>
                <m:rPr>
                  <m:sty m:val="p"/>
                </m:rPr>
                <m:t>)</m:t>
              </m:r>
            </m:oMath>
            <w:r>
              <w:rPr>
                <w:sz w:val="18"/>
              </w:rPr>
              <w:t xml:space="preserve">; noise SNR</w:t>
            </w:r>
            <w:r>
              <w:rPr>
                <w:sz w:val="18"/>
              </w:rPr>
              <w:t xml:space="preserve"> </w:t>
            </w:r>
            <m:oMath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)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dB; wander 0.1–0.5 Hz, amp. </w:t>
            </w:r>
            <m:oMath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rPr>
                <w:sz w:val="18"/>
              </w:rPr>
              <w:t xml:space="preserve">; lead dropout</w:t>
            </w:r>
            <w:r>
              <w:rPr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Class balancing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BCE positive weight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neg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pos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 class</w:t>
            </w:r>
          </w:p>
        </w:tc>
      </w:tr>
    </w:tbl>
    <w:bookmarkEnd w:id="23"/>
    <w:bookmarkStart w:id="27" w:name="c.-feature-analysis"/>
    <w:p>
      <w:pPr>
        <w:pStyle w:val="Heading2"/>
      </w:pPr>
      <w:r>
        <w:t xml:space="preserve">C. Feature Analysis</w:t>
      </w:r>
    </w:p>
    <w:p>
      <w:pPr>
        <w:pStyle w:val="FirstParagraph"/>
      </w:pPr>
      <w:r>
        <w:t xml:space="preserve">No hand-crafted features are extracted. Every client learns its features end-to-end from the</w:t>
      </w:r>
      <w:r>
        <w:t xml:space="preserve"> </w:t>
      </w:r>
      <w:r>
        <w:t xml:space="preserve">normalised 12-lead signal, and the four architectures look at the signal in complementary ways, as</w:t>
      </w:r>
      <w:r>
        <w:t xml:space="preserve"> </w:t>
      </w:r>
      <w:r>
        <w:t xml:space="preserve">summarised in Table III. The convolutional clients extract local morphological</w:t>
      </w:r>
      <w:r>
        <w:t xml:space="preserve"> </w:t>
      </w:r>
      <w:r>
        <w:t xml:space="preserve">features (QRS complexes, ST segments and T waves) whose receptive field grows with depth; the BiLSTM</w:t>
      </w:r>
      <w:r>
        <w:t xml:space="preserve"> </w:t>
      </w:r>
      <w:r>
        <w:t xml:space="preserve">integrates the whole 10-s recording in both directions and is sensitive to rhythm and to the</w:t>
      </w:r>
      <w:r>
        <w:t xml:space="preserve"> </w:t>
      </w:r>
      <w:r>
        <w:t xml:space="preserve">temporal relation between beats; the CNN-LSTM first compresses local morphology into 125 steps and</w:t>
      </w:r>
      <w:r>
        <w:t xml:space="preserve"> </w:t>
      </w:r>
      <w:r>
        <w:t xml:space="preserve">then models their sequence. All clients summarise the time axis with concatenated average and max</w:t>
      </w:r>
      <w:r>
        <w:t xml:space="preserve"> </w:t>
      </w:r>
      <w:r>
        <w:t xml:space="preserve">pooling, which preserves both the typical and the most extreme activation of each feature channel.</w:t>
      </w:r>
    </w:p>
    <w:p>
      <w:pPr>
        <w:pStyle w:val="BodyText"/>
      </w:pPr>
      <w:r>
        <w:t xml:space="preserve">The correlation structure of the input explains why a lead-wise model is appropriate. The 12 leads</w:t>
      </w:r>
      <w:r>
        <w:t xml:space="preserve"> </w:t>
      </w:r>
      <w:r>
        <w:t xml:space="preserve">are not independent: the limb leads are linear combinations of two measured potentials, and</w:t>
      </w:r>
      <w:r>
        <w:t xml:space="preserve"> </w:t>
      </w:r>
      <w:r>
        <w:t xml:space="preserve">neighbouring precordial leads view the heart from similar angles. Fig. 2 shows the</w:t>
      </w:r>
      <w:r>
        <w:t xml:space="preserve"> </w:t>
      </w:r>
      <w:r>
        <w:t xml:space="preserve">mean Pearson correlation between the normalised leads over 17,083 training recordings (one recording</w:t>
      </w:r>
      <w:r>
        <w:t xml:space="preserve"> </w:t>
      </w:r>
      <w:r>
        <w:t xml:space="preserve">with a flat lead was skipped). The leads facing the left ventricle form one strongly correlated group:</w:t>
      </w:r>
      <w:r>
        <w:t xml:space="preserve"> </w:t>
      </w:r>
      <w:r>
        <w:t xml:space="preserve">I, II, V4, V5 and V6 correlate with each other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0.62</m:t>
        </m:r>
      </m:oMath>
      <w:r>
        <w:t xml:space="preserve">–</w:t>
      </w:r>
      <m:oMath>
        <m:r>
          <m:t>0.92</m:t>
        </m:r>
      </m:oMath>
      <w:r>
        <w:t xml:space="preserve">, and aVR mirrors them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0.90</m:t>
        </m:r>
      </m:oMath>
      <w:r>
        <w:t xml:space="preserve">). The inferior leads III and aVF form a second group (</w:t>
      </w:r>
      <m:oMath>
        <m:r>
          <m:t>r</m:t>
        </m:r>
        <m:r>
          <m:rPr>
            <m:sty m:val="p"/>
          </m:rPr>
          <m:t>=</m:t>
        </m:r>
        <m:r>
          <m:t>0.74</m:t>
        </m:r>
      </m:oMath>
      <w:r>
        <w:t xml:space="preserve">), anti-correlated</w:t>
      </w:r>
      <w:r>
        <w:t xml:space="preserve"> </w:t>
      </w:r>
      <w:r>
        <w:t xml:space="preserve">with aVL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 </w:t>
      </w:r>
      <w:r>
        <w:t xml:space="preserve">for III), whereas the right precordial leads V1–V3 are only weakly related to the</w:t>
      </w:r>
      <w:r>
        <w:t xml:space="preserve"> </w:t>
      </w:r>
      <w:r>
        <w:t xml:space="preserve">lateral group (for example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between V2 and V5). Much of the 12-lead input is therefore</w:t>
      </w:r>
      <w:r>
        <w:t xml:space="preserve"> </w:t>
      </w:r>
      <w:r>
        <w:t xml:space="preserve">redundant, while V1–V3 and the inferior leads carry largely separate information. Feature selection</w:t>
      </w:r>
      <w:r>
        <w:t xml:space="preserve"> </w:t>
      </w:r>
      <w:r>
        <w:t xml:space="preserve">is left to the networks, and lead dropout during training discourages them from relying on a single</w:t>
      </w:r>
      <w:r>
        <w:t xml:space="preserve"> </w:t>
      </w:r>
      <w:r>
        <w:t xml:space="preserve">lead.</w:t>
      </w:r>
    </w:p>
    <w:p>
      <w:pPr>
        <w:pStyle w:val="BodyText"/>
      </w:pPr>
      <w:r>
        <w:t xml:space="preserve">Fusion is performed at the decision level. Feature-level fusion of the client embeddings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would require the clients to transmit internal representations of every patient and to agree</w:t>
      </w:r>
      <w:r>
        <w:t xml:space="preserve"> </w:t>
      </w:r>
      <w:r>
        <w:t xml:space="preserve">on a common embedding space, which both weakens privacy and is not meaningful for networks of</w:t>
      </w:r>
      <w:r>
        <w:t xml:space="preserve"> </w:t>
      </w:r>
      <w:r>
        <w:t xml:space="preserve">different design. Each client therefore maps its own features to calibrated class probabilities, and</w:t>
      </w:r>
      <w:r>
        <w:t xml:space="preserve"> </w:t>
      </w:r>
      <w:r>
        <w:t xml:space="preserve">only these are fused (Section III-E).</w:t>
      </w:r>
    </w:p>
    <w:p>
      <w:pPr>
        <w:pStyle w:val="TableCaption"/>
      </w:pPr>
      <w:r>
        <w:t xml:space="preserve">TABLE III. Learned features per client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III. Learned features per client"/>
        <w:tblW w:w="5000" w:type="pct"/>
        <w:tblBorders>
          <w:top w:val="single" w:sz="12" w:color="000000"/>
          <w:bottom w:val="single" w:sz="12" w:color="000000"/>
        </w:tblBorders>
      </w:tblPr>
      <w:tblGrid>
        <w:gridCol w:w="1416"/>
        <w:gridCol w:w="2674"/>
        <w:gridCol w:w="2596"/>
        <w:gridCol w:w="267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Feature extractor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Pooled dim.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Main signal property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 conv blocks, k=7, 32–256 ch.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Local wave morphology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ResNet, 16 blocks, k=5, 64–256 ch.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512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256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Hierarchical morphology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2-layer BiLSTM, 128 units, 1,000 steps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Rhythm, beat-to-beat context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3 conv blocks + BiLSTM, 125 steps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Morphology and rhythm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023360" cy="337693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ead_cor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37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Mean Pearson correlation between the 12 normalised leads over the training folds 1–8.</w:t>
      </w:r>
    </w:p>
    <w:bookmarkEnd w:id="27"/>
    <w:bookmarkStart w:id="28" w:name="d.-classification-and-regression"/>
    <w:p>
      <w:pPr>
        <w:pStyle w:val="Heading2"/>
      </w:pPr>
      <w:r>
        <w:t xml:space="preserve">D. Classification and Regression</w:t>
      </w:r>
    </w:p>
    <w:p>
      <w:pPr>
        <w:pStyle w:val="FirstParagraph"/>
      </w:pPr>
      <w:r>
        <w:rPr>
          <w:i/>
          <w:iCs/>
        </w:rPr>
        <w:t xml:space="preserve">Classification.</w:t>
      </w:r>
      <w:r>
        <w:t xml:space="preserve"> </w:t>
      </w:r>
      <w:r>
        <w:t xml:space="preserve">The task is multi-label: a recording can belong to several superclasses at</w:t>
      </w:r>
      <w:r>
        <w:t xml:space="preserve"> </w:t>
      </w:r>
      <w:r>
        <w:t xml:space="preserve">once, and in PTB-XL 24.1% of the retained records carry more than one superclass. The output layer</w:t>
      </w:r>
      <w:r>
        <w:t xml:space="preserve"> </w:t>
      </w:r>
      <w:r>
        <w:t xml:space="preserve">of each client therefore has five independent logits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, and a sigmoid rather than a softmax</w:t>
      </w:r>
      <w:r>
        <w:t xml:space="preserve"> </w:t>
      </w:r>
      <w:r>
        <w:t xml:space="preserve">gives the class probabilities. Each client minimises the class-weighted binary cross-entropy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r>
                        <m:rPr>
                          <m:sty m:val="p"/>
                        </m:rPr>
                        <m:t>[</m:t>
                      </m:r>
                    </m:e>
                  </m:nary>
                </m:e>
              </m:nary>
              <m:r>
                <m:t>&amp;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computed from the client’s own training labels. After training, a</w:t>
      </w:r>
      <w:r>
        <w:t xml:space="preserve"> </w:t>
      </w:r>
      <w:r>
        <w:t xml:space="preserve">single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fitted on the validation fold by minimising the same loss without</w:t>
      </w:r>
      <w:r>
        <w:t xml:space="preserve"> </w:t>
      </w:r>
      <w:r>
        <w:t xml:space="preserve">weights over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[</w:t>
      </w:r>
      <w:r>
        <w:t xml:space="preserve">28</w:t>
      </w:r>
      <w:r>
        <w:t xml:space="preserve">]</w:t>
      </w:r>
      <w:r>
        <w:t xml:space="preserve">, which rescales the confidence of the client</w:t>
      </w:r>
      <w:r>
        <w:t xml:space="preserve"> </w:t>
      </w:r>
      <w:r>
        <w:t xml:space="preserve">without changing its ranking. The final binary decision for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y</m:t>
            </m:r>
          </m:e>
          <m:sub>
            <m:r>
              <m:t>c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threshold that maximises the F1-score of</w:t>
      </w:r>
      <w:r>
        <w:t xml:space="preserve"> </w:t>
      </w:r>
      <w:r>
        <w:t xml:space="preserve">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 validation predictions.</w:t>
      </w:r>
    </w:p>
    <w:p>
      <w:pPr>
        <w:pStyle w:val="BodyText"/>
      </w:pPr>
      <w:r>
        <w:rPr>
          <w:i/>
          <w:iCs/>
        </w:rPr>
        <w:t xml:space="preserve">Regression.</w:t>
      </w:r>
      <w:r>
        <w:t xml:space="preserve"> </w:t>
      </w:r>
      <w:r>
        <w:t xml:space="preserve">The PTB-XL superclass task does not provide a continuous target such as a</w:t>
      </w:r>
      <w:r>
        <w:t xml:space="preserve"> </w:t>
      </w:r>
      <w:r>
        <w:t xml:space="preserve">severity score, so no regression head was trained and no regression metric (MAE, RMSE,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is</w:t>
      </w:r>
      <w:r>
        <w:t xml:space="preserve"> </w:t>
      </w:r>
      <w:r>
        <w:t xml:space="preserve">reported. The only continuous quantities produced by the model are the calibrated probabilities,</w:t>
      </w:r>
      <w:r>
        <w:t xml:space="preserve"> </w:t>
      </w:r>
      <w:r>
        <w:t xml:space="preserve">which are used as graded risk scores by the triage rule: for each class a rule-in threshold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a rule-out threshold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are fitted on validation data, findings with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are referred</w:t>
      </w:r>
      <w:r>
        <w:t xml:space="preserve"> </w:t>
      </w:r>
      <w:r>
        <w:t xml:space="preserve">to a cardiologist, and coverage is always reported together with the precision and recall of the</w:t>
      </w:r>
      <w:r>
        <w:t xml:space="preserve"> </w:t>
      </w:r>
      <w:r>
        <w:t xml:space="preserve">automatically decided findings.</w:t>
      </w:r>
    </w:p>
    <w:bookmarkEnd w:id="28"/>
    <w:bookmarkStart w:id="35" w:name="e.-federated-learning"/>
    <w:p>
      <w:pPr>
        <w:pStyle w:val="Heading2"/>
      </w:pPr>
      <w:r>
        <w:t xml:space="preserve">E. Federated Learning</w:t>
      </w:r>
    </w:p>
    <w:p>
      <w:pPr>
        <w:pStyle w:val="FirstParagraph"/>
      </w:pPr>
      <w:r>
        <w:rPr>
          <w:i/>
          <w:iCs/>
        </w:rPr>
        <w:t xml:space="preserve">Clients and data split.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clients receive the official PTB-XL training folds in</w:t>
      </w:r>
      <w:r>
        <w:t xml:space="preserve"> </w:t>
      </w:r>
      <w:r>
        <w:t xml:space="preserve">pairs: A folds 1–2, B folds 3–4, C folds 5–6 and D folds 7–8, i.e. about 4,270 records each. The</w:t>
      </w:r>
      <w:r>
        <w:t xml:space="preserve"> </w:t>
      </w:r>
      <w:r>
        <w:t xml:space="preserve">folds were constructed by the dataset authors so that all records of a patient lie in one fold and</w:t>
      </w:r>
      <w:r>
        <w:t xml:space="preserve"> </w:t>
      </w:r>
      <w:r>
        <w:t xml:space="preserve">the label distribution is similar across folds</w:t>
      </w:r>
      <w:r>
        <w:t xml:space="preserve"> </w:t>
      </w:r>
      <w:r>
        <w:t xml:space="preserve">[</w:t>
      </w:r>
      <w:r>
        <w:t xml:space="preserve">5</w:t>
      </w:r>
      <w:r>
        <w:t xml:space="preserve">]</w:t>
      </w:r>
      <w:r>
        <w:t xml:space="preserve">; the partition is therefore</w:t>
      </w:r>
      <w:r>
        <w:t xml:space="preserve"> </w:t>
      </w:r>
      <w:r>
        <w:t xml:space="preserve">patient-disjoint and approximately IID with respect to the labels, and the heterogeneity of the</w:t>
      </w:r>
      <w:r>
        <w:t xml:space="preserve"> </w:t>
      </w:r>
      <w:r>
        <w:t xml:space="preserve">federation lies in the models: every client trains a different architecture with a different number</w:t>
      </w:r>
      <w:r>
        <w:t xml:space="preserve"> </w:t>
      </w:r>
      <w:r>
        <w:t xml:space="preserve">of parameters (0.44M to 6.73M). Fold 9 is held by the server as a validation set, and fold 10 is the</w:t>
      </w:r>
      <w:r>
        <w:t xml:space="preserve"> </w:t>
      </w:r>
      <w:r>
        <w:t xml:space="preserve">untouched test set.</w:t>
      </w:r>
    </w:p>
    <w:p>
      <w:pPr>
        <w:pStyle w:val="BodyText"/>
      </w:pPr>
      <w:r>
        <w:rPr>
          <w:i/>
          <w:iCs/>
        </w:rPr>
        <w:t xml:space="preserve">Local training and communication.</w:t>
      </w:r>
      <w:r>
        <w:t xml:space="preserve"> </w:t>
      </w:r>
      <w:r>
        <w:t xml:space="preserve">Each client trains once, for up to 50 local epochs with</w:t>
      </w:r>
      <w:r>
        <w:t xml:space="preserve"> </w:t>
      </w:r>
      <w:r>
        <w:t xml:space="preserve">early stopping, and then fits its temperature. Federation therefore takes a single round: there is</w:t>
      </w:r>
      <w:r>
        <w:t xml:space="preserve"> </w:t>
      </w:r>
      <w:r>
        <w:t xml:space="preserve">no repeated exchange of parameters and no synchronisation between clients during training. At</w:t>
      </w:r>
      <w:r>
        <w:t xml:space="preserve"> </w:t>
      </w:r>
      <w:r>
        <w:t xml:space="preserve">fitting and inference time the server sends an ECG to the clients and receives one calibrated</w:t>
      </w:r>
      <w:r>
        <w:t xml:space="preserve"> </w:t>
      </w:r>
      <w:r>
        <w:t xml:space="preserve">5-dimensional probability vector from each, i.e. 20 numbers per ECG. In the experiments reported</w:t>
      </w:r>
      <w:r>
        <w:t xml:space="preserve"> </w:t>
      </w:r>
      <w:r>
        <w:t xml:space="preserve">here all parties were simulated on one machine, but no step of the method requires a client to</w:t>
      </w:r>
      <w:r>
        <w:t xml:space="preserve"> </w:t>
      </w:r>
      <w:r>
        <w:t xml:space="preserve">reveal its data, parameters or architecture. Fig. 3 shows the workflow and</w:t>
      </w:r>
      <w:r>
        <w:t xml:space="preserve"> </w:t>
      </w:r>
      <w:r>
        <w:t xml:space="preserve">Algorithm 2 the protocol.</w:t>
      </w:r>
    </w:p>
    <w:p>
      <w:pPr>
        <w:pStyle w:val="BodyText"/>
      </w:pPr>
      <w:r>
        <w:rPr>
          <w:i/>
          <w:iCs/>
        </w:rPr>
        <w:t xml:space="preserve">Aggregation rule.</w:t>
      </w:r>
      <w:r>
        <w:t xml:space="preserve"> </w:t>
      </w:r>
      <w:r>
        <w:t xml:space="preserve">Parameter-averaging methods such as FedAvg</w:t>
      </w:r>
      <w:r>
        <w:t xml:space="preserve"> </w:t>
      </w:r>
      <w:r>
        <w:t xml:space="preserve">[</w:t>
      </w:r>
      <w:r>
        <w:t xml:space="preserve">14</w:t>
      </w:r>
      <w:r>
        <w:t xml:space="preserve">]</w:t>
      </w:r>
      <w:r>
        <w:t xml:space="preserve"> </w:t>
      </w:r>
      <w:r>
        <w:t xml:space="preserve">update</w:t>
      </w:r>
      <w:r>
        <w:t xml:space="preserve"> </w:t>
      </w:r>
      <w:r>
        <w:t xml:space="preserve">a shared model as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n</m:t>
                    </m:r>
                  </m:e>
                  <m:sub>
                    <m:r>
                      <m:t>k</m:t>
                    </m:r>
                  </m:sub>
                </m:sSub>
              </m:num>
              <m:den>
                <m:r>
                  <m:t>n</m:t>
                </m:r>
              </m:den>
            </m:f>
          </m:e>
        </m:nary>
        <m:sSubSup>
          <m:e>
            <m:r>
              <m:t>θ</m:t>
            </m:r>
          </m:e>
          <m:sub>
            <m:r>
              <m:t>k</m:t>
            </m:r>
          </m:sub>
          <m:sup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, which is only defined</w:t>
      </w:r>
      <w:r>
        <w:t xml:space="preserve"> </w:t>
      </w:r>
      <w:r>
        <w:t xml:space="preserve">when all clients share the same parameter space. CardioSentinel instead aggregates the calibrated</w:t>
      </w:r>
      <w:r>
        <w:t xml:space="preserve"> </w:t>
      </w:r>
      <w:r>
        <w:t xml:space="preserve">predictions,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  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weights parameterised by a softmax so that the simplex constraint holds by construction.</w:t>
      </w:r>
      <w:r>
        <w:t xml:space="preserve"> </w:t>
      </w:r>
      <w:r>
        <w:t xml:space="preserve">This prediction-level aggregation is related to one-shot FL with ensembles of local models</w:t>
      </w:r>
      <w:r>
        <w:t xml:space="preserve"> </w:t>
      </w:r>
      <w:r>
        <w:t xml:space="preserve">[</w:t>
      </w:r>
      <w:r>
        <w:t xml:space="preserve">29</w:t>
      </w:r>
      <w:r>
        <w:t xml:space="preserve">]</w:t>
      </w:r>
      <w:r>
        <w:t xml:space="preserve"> </w:t>
      </w:r>
      <w:r>
        <w:t xml:space="preserve">and to distillation-based schemes that also admit heterogeneous client models</w:t>
      </w:r>
      <w:r>
        <w:t xml:space="preserve"> </w:t>
      </w:r>
      <w:r>
        <w:t xml:space="preserve">[</w:t>
      </w:r>
      <w:r>
        <w:t xml:space="preserve">30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31</w:t>
      </w:r>
      <w:r>
        <w:t xml:space="preserve">]</w:t>
      </w:r>
      <w:r>
        <w:t xml:space="preserve">; unlike the latter, it needs neither a public transfer dataset nor a</w:t>
      </w:r>
      <w:r>
        <w:t xml:space="preserve"> </w:t>
      </w:r>
      <w:r>
        <w:t xml:space="preserve">distillation step, because the calibrated mixture itself is the global model.</w:t>
      </w:r>
      <w:r>
        <w:t xml:space="preserve"> </w:t>
      </w:r>
      <w:r>
        <w:t xml:space="preserve">Three combiners of increasing complexity are considered.</w:t>
      </w:r>
      <w:r>
        <w:t xml:space="preserve"> </w:t>
      </w:r>
      <w:r>
        <w:rPr>
          <w:i/>
          <w:iCs/>
        </w:rPr>
        <w:t xml:space="preserve">Equal weights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and learn</w:t>
      </w:r>
      <w:r>
        <w:t xml:space="preserve"> </w:t>
      </w:r>
      <w:r>
        <w:t xml:space="preserve">nothing.</w:t>
      </w:r>
      <w:r>
        <w:t xml:space="preserve"> </w:t>
      </w:r>
      <w:r>
        <w:rPr>
          <w:i/>
          <w:iCs/>
        </w:rPr>
        <w:t xml:space="preserve">Static weights</w:t>
      </w:r>
      <w:r>
        <w:t xml:space="preserve"> </w:t>
      </w:r>
      <w:r>
        <w:t xml:space="preserve">learn one global logit per client,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r>
        <w:t xml:space="preserve">minimising the binary cross-entropy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validation data with full-batch Adam</w:t>
      </w:r>
      <w:r>
        <w:t xml:space="preserve"> </w:t>
      </w:r>
      <w:r>
        <w:t xml:space="preserve">(learning rate 0.05, 500 steps). The</w:t>
      </w:r>
      <w:r>
        <w:t xml:space="preserve"> </w:t>
      </w:r>
      <w:r>
        <w:rPr>
          <w:i/>
          <w:iCs/>
        </w:rPr>
        <w:t xml:space="preserve">dynamic gate</w:t>
      </w:r>
      <w:r>
        <w:t xml:space="preserve"> </w:t>
      </w:r>
      <w:r>
        <w:t xml:space="preserve">is a per-patient mixture of experts</w:t>
      </w:r>
      <w:r>
        <w:t xml:space="preserve"> </w:t>
      </w:r>
      <w:r>
        <w:t xml:space="preserve">[</w:t>
      </w:r>
      <w:r>
        <w:t xml:space="preserve">32</w:t>
      </w:r>
      <w:r>
        <w:t xml:space="preserve">]</w:t>
      </w:r>
      <w:r>
        <w:t xml:space="preserve">: an MLP takes the 20 client probabilities and the four mean binary entropies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[</m:t>
            </m:r>
          </m:e>
        </m:nary>
        <m:sSub>
          <m:e>
            <m:r>
              <m:t>p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passes them through a 32-unit</w:t>
      </w:r>
      <w:r>
        <w:t xml:space="preserve"> </w:t>
      </w:r>
      <w:r>
        <w:t xml:space="preserve">ReLU layer with dropout 0.2 and outputs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its last layer is</w:t>
      </w:r>
      <w:r>
        <w:t xml:space="preserve"> </w:t>
      </w:r>
      <w:r>
        <w:t xml:space="preserve">initialised to zero so that it starts from equal weights, and it is trained with AdamW and early</w:t>
      </w:r>
      <w:r>
        <w:t xml:space="preserve"> </w:t>
      </w:r>
      <w:r>
        <w:t xml:space="preserve">stopping on a patient-grouped 20% inner hold-out. All three are evaluated by patient-grouped</w:t>
      </w:r>
      <w:r>
        <w:t xml:space="preserve"> </w:t>
      </w:r>
      <w:r>
        <w:t xml:space="preserve">five-fold cross-validation inside the validation fold, and the selection rule of</w:t>
      </w:r>
      <w:r>
        <w:t xml:space="preserve"> </w:t>
      </w:r>
      <w:r>
        <w:t xml:space="preserve">Algorithm 1 adopts a more complex combiner only if its cross-validated macro AUROC</w:t>
      </w:r>
      <w:r>
        <w:t xml:space="preserve"> </w:t>
      </w:r>
      <w:r>
        <w:t xml:space="preserve">exceeds that of the current choice by at least 0.002. This rule was fixed before the multi-seed test</w:t>
      </w:r>
      <w:r>
        <w:t xml:space="preserve"> </w:t>
      </w:r>
      <w:r>
        <w:t xml:space="preserve">evaluation.</w:t>
      </w:r>
    </w:p>
    <w:p>
      <w:pPr>
        <w:pStyle w:val="BodyText"/>
      </w:pPr>
      <w:r>
        <w:rPr>
          <w:i/>
          <w:iCs/>
        </w:rPr>
        <w:t xml:space="preserve">Privacy benefit.</w:t>
      </w:r>
      <w:r>
        <w:t xml:space="preserve"> </w:t>
      </w:r>
      <w:r>
        <w:t xml:space="preserve">Raw ECGs, patient identifiers, model parameters, gradients and internal</w:t>
      </w:r>
      <w:r>
        <w:t xml:space="preserve"> </w:t>
      </w:r>
      <w:r>
        <w:t xml:space="preserve">embeddings never leave a client. The server observes only five calibrated probabilities per client</w:t>
      </w:r>
      <w:r>
        <w:t xml:space="preserve"> </w:t>
      </w:r>
      <w:r>
        <w:t xml:space="preserve">and ECG, which is the information a clinical decision-support service would return anyway. The</w:t>
      </w:r>
      <w:r>
        <w:t xml:space="preserve"> </w:t>
      </w:r>
      <w:r>
        <w:t xml:space="preserve">scheme does not by itself provide formal guarantees such as differential privacy, and the server</w:t>
      </w:r>
      <w:r>
        <w:t xml:space="preserve"> </w:t>
      </w:r>
      <w:r>
        <w:t xml:space="preserve">must hold a labelled validation set to fit the gate.</w:t>
      </w:r>
    </w:p>
    <w:p>
      <w:pPr>
        <w:pStyle w:val="CaptionedFigure"/>
        <w:jc w:val="center"/>
      </w:pPr>
      <w:r>
        <w:drawing>
          <wp:inline>
            <wp:extent cx="4023360" cy="163015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630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Federated workflow. Clients train once on private data; afterwards the server sends an ECG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(dashed) and receives calibrated probabilities (solid). No parameters or raw training data are</w:t>
      </w:r>
      <w:r>
        <w:t xml:space="preserve"> </w:t>
      </w:r>
      <w:r>
        <w:t xml:space="preserve">exchanged.</w:t>
      </w:r>
    </w:p>
    <w:p>
      <w:pPr>
        <w:pStyle w:val="BodyText"/>
        <w:jc w:val="center"/>
      </w:pPr>
      <w:r>
        <w:drawing>
          <wp:inline>
            <wp:extent cx="5334000" cy="1244305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algorithm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f.-explainable-ai"/>
    <w:p>
      <w:pPr>
        <w:pStyle w:val="Heading2"/>
      </w:pPr>
      <w:r>
        <w:t xml:space="preserve">F. Explainable AI</w:t>
      </w:r>
    </w:p>
    <w:p>
      <w:pPr>
        <w:pStyle w:val="FirstParagraph"/>
      </w:pPr>
      <w:r>
        <w:t xml:space="preserve">Two complementary explanations are produced for the global model, one at the level of the input</w:t>
      </w:r>
      <w:r>
        <w:t xml:space="preserve"> </w:t>
      </w:r>
      <w:r>
        <w:t xml:space="preserve">signal and one at the level of the federation.</w:t>
      </w:r>
    </w:p>
    <w:p>
      <w:pPr>
        <w:pStyle w:val="BodyText"/>
      </w:pPr>
      <w:r>
        <w:rPr>
          <w:i/>
          <w:iCs/>
        </w:rPr>
        <w:t xml:space="preserve">Signal-level attributions.</w:t>
      </w:r>
      <w:r>
        <w:t xml:space="preserve"> </w:t>
      </w:r>
      <w:r>
        <w:t xml:space="preserve">Because the global output of Eq. (4) with equal</w:t>
      </w:r>
      <w:r>
        <w:t xml:space="preserve"> </w:t>
      </w:r>
      <w:r>
        <w:t xml:space="preserve">weights is a differentiable function of the input,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σ</m:t>
            </m:r>
          </m:e>
        </m:nary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can be explained with Integrated Gradients (IG)</w:t>
      </w:r>
      <w:r>
        <w:t xml:space="preserve"> </w:t>
      </w:r>
      <w:r>
        <w:t xml:space="preserve">[</w:t>
      </w:r>
      <w:r>
        <w:t xml:space="preserve">33</w:t>
      </w:r>
      <w:r>
        <w:t xml:space="preserve">]</w:t>
      </w:r>
      <w:r>
        <w:t xml:space="preserve">. For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baseline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attribution of input sample</w:t>
      </w:r>
      <w:r>
        <w:t xml:space="preserve"> </w:t>
      </w:r>
      <m:oMath>
        <m:r>
          <m:rPr>
            <m:sty m:val="p"/>
          </m:rPr>
          <m:t>(</m:t>
        </m:r>
        <m:r>
          <m:t>ℓ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</m:e>
            <m:sub>
              <m:r>
                <m:t>ℓ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ℓ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ℓ</m:t>
              </m:r>
              <m:r>
                <m:t>t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ℓ</m:t>
                      </m:r>
                      <m:r>
                        <m:t>t</m:t>
                      </m:r>
                    </m:sub>
                  </m:sSub>
                </m:den>
              </m:f>
            </m:e>
          </m:nary>
          <m:r>
            <m:t> </m:t>
          </m:r>
          <m:r>
            <m:t>d</m:t>
          </m:r>
          <m:r>
            <m:t>α</m:t>
          </m:r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approximated with a 32-step Riemann sum. The baseline is the all-zero signal, which after per-lead</w:t>
      </w:r>
      <w:r>
        <w:t xml:space="preserve"> </w:t>
      </w:r>
      <w:r>
        <w:t xml:space="preserve">z-scoring corresponds to every lead resting at its own mean. IG satisfies completeness, i.e. the</w:t>
      </w:r>
      <w:r>
        <w:t xml:space="preserve"> </w:t>
      </w:r>
      <w:r>
        <w:t xml:space="preserve">attributions sum to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and is computed on the whole gate rather than on a single</w:t>
      </w:r>
      <w:r>
        <w:t xml:space="preserve"> </w:t>
      </w:r>
      <w:r>
        <w:t xml:space="preserve">client. Global lead importance for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share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e>
          <m:sub>
            <m:r>
              <m:t>ℓ</m:t>
            </m:r>
            <m:r>
              <m:t>t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falling on</w:t>
      </w:r>
      <w:r>
        <w:t xml:space="preserve"> </w:t>
      </w:r>
      <w:r>
        <w:t xml:space="preserve">each lead, averaged over the positive validation records of that class; local explanations show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e>
          <m:sub>
            <m:r>
              <m:t>ℓ</m:t>
            </m:r>
            <m:r>
              <m:t>t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along time for the leads with the largest share. The faithfulness of the</w:t>
      </w:r>
      <w:r>
        <w:t xml:space="preserve"> </w:t>
      </w:r>
      <w:r>
        <w:t xml:space="preserve">attributions is checked with a deletion test: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leads with the largest attribution are set to</w:t>
      </w:r>
      <w:r>
        <w:t xml:space="preserve"> </w:t>
      </w:r>
      <w:r>
        <w:t xml:space="preserve">zero and the drop in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compared with that obtained when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random leads are removed. Gradient</w:t>
      </w:r>
      <w:r>
        <w:t xml:space="preserve"> </w:t>
      </w:r>
      <w:r>
        <w:t xml:space="preserve">methods were preferred over Grad-CAM</w:t>
      </w:r>
      <w:r>
        <w:t xml:space="preserve"> </w:t>
      </w:r>
      <w:r>
        <w:t xml:space="preserve">[</w:t>
      </w:r>
      <w:r>
        <w:t xml:space="preserve">34</w:t>
      </w:r>
      <w:r>
        <w:t xml:space="preserve">]</w:t>
      </w:r>
      <w:r>
        <w:t xml:space="preserve"> </w:t>
      </w:r>
      <w:r>
        <w:t xml:space="preserve">because two of the four clients have</w:t>
      </w:r>
      <w:r>
        <w:t xml:space="preserve"> </w:t>
      </w:r>
      <w:r>
        <w:t xml:space="preserve">no convolutional feature map at the output, and over sampling-based SHAP</w:t>
      </w:r>
      <w:r>
        <w:t xml:space="preserve"> </w:t>
      </w:r>
      <w:r>
        <w:t xml:space="preserve">[</w:t>
      </w:r>
      <w:r>
        <w:t xml:space="preserve">35</w:t>
      </w:r>
      <w:r>
        <w:t xml:space="preserve">]</w:t>
      </w:r>
      <w:r>
        <w:t xml:space="preserve"> </w:t>
      </w:r>
      <w:r>
        <w:t xml:space="preserve">because of the 12</w:t>
      </w:r>
      <w:r>
        <w:t xml:space="preserve">,</w:t>
      </w:r>
      <w:r>
        <w:t xml:space="preserve">000-dimensional input.</w:t>
      </w:r>
    </w:p>
    <w:p>
      <w:pPr>
        <w:pStyle w:val="BodyText"/>
      </w:pPr>
      <w:r>
        <w:rPr>
          <w:i/>
          <w:iCs/>
        </w:rPr>
        <w:t xml:space="preserve">Federation-level attributions.</w:t>
      </w:r>
      <w:r>
        <w:t xml:space="preserve"> </w:t>
      </w:r>
      <w:r>
        <w:t xml:space="preserve">The contribution of each institution to the global macro</w:t>
      </w:r>
      <w:r>
        <w:t xml:space="preserve"> </w:t>
      </w:r>
      <w:r>
        <w:t xml:space="preserve">AUROC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an equal-weight sub-federation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is quantified with the Shapley</w:t>
      </w:r>
      <w:r>
        <w:t xml:space="preserve"> </w:t>
      </w:r>
      <w:r>
        <w:t xml:space="preserve">value</w:t>
      </w:r>
      <w:r>
        <w:t xml:space="preserve"> </w:t>
      </w:r>
      <w:r>
        <w:t xml:space="preserve">[</w:t>
      </w:r>
      <w:r>
        <w:t xml:space="preserve">36</w:t>
      </w:r>
      <w:r>
        <w:t xml:space="preserve">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K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v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 the AUROC of an uninformative ranking. The 15 non-empty subsets are evaluated</w:t>
      </w:r>
      <w:r>
        <w:t xml:space="preserve"> </w:t>
      </w:r>
      <w:r>
        <w:t xml:space="preserve">exactly, so no sampling approximation is needed. All explanations are computed on validation (fold 9)</w:t>
      </w:r>
      <w:r>
        <w:t xml:space="preserve"> </w:t>
      </w:r>
      <w:r>
        <w:t xml:space="preserve">records or on subset results that were already part of the evaluation; the test fold is not used to</w:t>
      </w:r>
      <w:r>
        <w:t xml:space="preserve"> </w:t>
      </w:r>
      <w:r>
        <w:t xml:space="preserve">generate them.</w:t>
      </w:r>
    </w:p>
    <w:bookmarkEnd w:id="36"/>
    <w:bookmarkEnd w:id="37"/>
    <w:bookmarkStart w:id="87" w:name="iv.-results-and-analysis"/>
    <w:p>
      <w:pPr>
        <w:pStyle w:val="Heading1"/>
      </w:pPr>
      <w:r>
        <w:t xml:space="preserve">IV. Results and Analysis</w:t>
      </w:r>
    </w:p>
    <w:bookmarkStart w:id="41" w:name="a.-dataset-description"/>
    <w:p>
      <w:pPr>
        <w:pStyle w:val="Heading2"/>
      </w:pPr>
      <w:r>
        <w:t xml:space="preserve">A. Dataset Description</w:t>
      </w:r>
    </w:p>
    <w:p>
      <w:pPr>
        <w:pStyle w:val="FirstParagraph"/>
      </w:pPr>
      <w:r>
        <w:t xml:space="preserve">All experiments use PTB-XL v1.0.3</w:t>
      </w:r>
      <w:r>
        <w:t xml:space="preserve"> </w:t>
      </w:r>
      <w:r>
        <w:t xml:space="preserve">[</w:t>
      </w:r>
      <w:r>
        <w:t xml:space="preserve">5</w:t>
      </w:r>
      <w:r>
        <w:t xml:space="preserve">]</w:t>
      </w:r>
      <w:r>
        <w:t xml:space="preserve">, an open-access (CC BY 4.0) collection</w:t>
      </w:r>
      <w:r>
        <w:t xml:space="preserve"> </w:t>
      </w:r>
      <w:r>
        <w:t xml:space="preserve">distributed through PhysioNet</w:t>
      </w:r>
      <w:r>
        <w:t xml:space="preserve"> </w:t>
      </w:r>
      <w:r>
        <w:t xml:space="preserve">[</w:t>
      </w:r>
      <w:r>
        <w:t xml:space="preserve">37</w:t>
      </w:r>
      <w:r>
        <w:t xml:space="preserve">]</w:t>
      </w:r>
      <w:r>
        <w:t xml:space="preserve">. It contains 21,799 clinical 12-lead ECGs of</w:t>
      </w:r>
      <w:r>
        <w:t xml:space="preserve"> </w:t>
      </w:r>
      <w:r>
        <w:t xml:space="preserve">10 s from 18,869 patients, recorded with Schiller devices and annotated with SCP-ECG statements by</w:t>
      </w:r>
      <w:r>
        <w:t xml:space="preserve"> </w:t>
      </w:r>
      <w:r>
        <w:t xml:space="preserve">up to two cardiologists; the 100-Hz version of the waveforms is used here. As described in</w:t>
      </w:r>
      <w:r>
        <w:t xml:space="preserve"> </w:t>
      </w:r>
      <w:r>
        <w:t xml:space="preserve">Section III-B, 411 records without a diagnostic superclass were removed, leaving 21,388</w:t>
      </w:r>
      <w:r>
        <w:t xml:space="preserve"> </w:t>
      </w:r>
      <w:r>
        <w:t xml:space="preserve">records from 18,617 patients. The mean age of the retained patients is 59.4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16.8 years</w:t>
      </w:r>
      <w:r>
        <w:t xml:space="preserve"> </w:t>
      </w:r>
      <w:r>
        <w:t xml:space="preserve">(ages above 89 are stored as a placeholder in PTB-XL and were excluded from this mean), and 48.1%</w:t>
      </w:r>
      <w:r>
        <w:t xml:space="preserve"> </w:t>
      </w:r>
      <w:r>
        <w:t xml:space="preserve">of the records belong to female patients. The labels are the five diagnostic superclasses: normal</w:t>
      </w:r>
      <w:r>
        <w:t xml:space="preserve"> </w:t>
      </w:r>
      <w:r>
        <w:t xml:space="preserve">ECG (NORM), myocardial infarction (MI), ST/T change (STTC), conduction disturbance (CD) and</w:t>
      </w:r>
      <w:r>
        <w:t xml:space="preserve"> </w:t>
      </w:r>
      <w:r>
        <w:t xml:space="preserve">hypertrophy (HYP). Because a recording may carry several superclasses, the mean number of labels per</w:t>
      </w:r>
      <w:r>
        <w:t xml:space="preserve"> </w:t>
      </w:r>
      <w:r>
        <w:t xml:space="preserve">record is 1.30 and 24.1% of the records are multi-label.</w:t>
      </w:r>
    </w:p>
    <w:p>
      <w:pPr>
        <w:pStyle w:val="BodyText"/>
      </w:pPr>
      <w:r>
        <w:t xml:space="preserve">The official stratified folds of PTB-XL were used without modification, which guarantees that all</w:t>
      </w:r>
      <w:r>
        <w:t xml:space="preserve"> </w:t>
      </w:r>
      <w:r>
        <w:t xml:space="preserve">recordings of a patient lie in a single fold. Folds 1–8 (17,084 records, 80%) form the training</w:t>
      </w:r>
      <w:r>
        <w:t xml:space="preserve"> </w:t>
      </w:r>
      <w:r>
        <w:t xml:space="preserve">data and are divided among the four clients, fold 9 (2,146 records, 10%) is the validation set</w:t>
      </w:r>
      <w:r>
        <w:t xml:space="preserve"> </w:t>
      </w:r>
      <w:r>
        <w:t xml:space="preserve">used for early stopping, calibration, thresholds and the gate, and fold 10 (2,158 records from</w:t>
      </w:r>
      <w:r>
        <w:t xml:space="preserve"> </w:t>
      </w:r>
      <w:r>
        <w:t xml:space="preserve">1,877 patients, 10%) is the test set. The split is therefore 80/10/10 rather than 80/20: the</w:t>
      </w:r>
      <w:r>
        <w:t xml:space="preserve"> </w:t>
      </w:r>
      <w:r>
        <w:t xml:space="preserve">separate validation fold prevents any model or gate choice from being tuned on the test data.</w:t>
      </w:r>
      <w:r>
        <w:t xml:space="preserve"> </w:t>
      </w:r>
      <w:r>
        <w:t xml:space="preserve">Table IV lists the records, patients and class counts of every partition, and</w:t>
      </w:r>
      <w:r>
        <w:t xml:space="preserve"> </w:t>
      </w:r>
      <w:r>
        <w:t xml:space="preserve">Fig. 4 shows the class distribution. NORM is the most frequent superclass</w:t>
      </w:r>
      <w:r>
        <w:t xml:space="preserve"> </w:t>
      </w:r>
      <w:r>
        <w:t xml:space="preserve">(44.5% of records) and HYP the rarest (12.4%), and the class proportions of the four clients</w:t>
      </w:r>
      <w:r>
        <w:t xml:space="preserve"> </w:t>
      </w:r>
      <w:r>
        <w:t xml:space="preserve">differ by less than one percentage point.</w:t>
      </w:r>
    </w:p>
    <w:p>
      <w:pPr>
        <w:pStyle w:val="TableCaption"/>
      </w:pPr>
      <w:r>
        <w:t xml:space="preserve">TABLE IV. Dataset details: records, patients and positive labels per partition (prevalence in % in parentheses)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IV. Dataset details: records, patients and positive labels per partition (prevalence in % in parentheses)"/>
        <w:tblW w:w="5000" w:type="pct"/>
        <w:tblBorders>
          <w:top w:val="single" w:sz="12" w:color="000000"/>
          <w:bottom w:val="single" w:sz="12" w:color="000000"/>
        </w:tblBorders>
      </w:tblPr>
      <w:tblGrid>
        <w:gridCol w:w="1080"/>
        <w:gridCol w:w="540"/>
        <w:gridCol w:w="756"/>
        <w:gridCol w:w="864"/>
        <w:gridCol w:w="1224"/>
        <w:gridCol w:w="1224"/>
        <w:gridCol w:w="1224"/>
        <w:gridCol w:w="1224"/>
        <w:gridCol w:w="122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Partition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Folds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Records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Patients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NORM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MI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STTC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CD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HYP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1, 2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277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676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907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087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050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966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B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3, 4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280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722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918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079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042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981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5, 6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264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725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869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125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060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990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535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7, 8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263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902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088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034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970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Train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1–8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17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084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823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596 (44.5)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379 (25.6)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186 (24.5)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907 (22.9)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119 (12.4)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Validation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146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917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955 (44.5)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540 (25.2)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528 (24.6)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495 (23.1)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268 (12.5)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Test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158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877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963 (44.6)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550 (25.5)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521 (24.1)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496 (23.0)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262 (12.1)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1–10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388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18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617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514 (44.5)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469 (25.6)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235 (24.5)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898 (22.9)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649 (12.4)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023360" cy="250152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lass_distribu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501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4. Number of records carrying each diagnostic superclass in the training, validation and test</w:t>
      </w:r>
      <w:r>
        <w:t xml:space="preserve"> </w:t>
      </w:r>
      <w:r>
        <w:t xml:space="preserve">folds (multi-label, so a record can be counted in several classes).</w:t>
      </w:r>
    </w:p>
    <w:bookmarkEnd w:id="41"/>
    <w:bookmarkStart w:id="42" w:name="b.-experimental-setup"/>
    <w:p>
      <w:pPr>
        <w:pStyle w:val="Heading2"/>
      </w:pPr>
      <w:r>
        <w:t xml:space="preserve">B. Experimental Setup</w:t>
      </w:r>
    </w:p>
    <w:p>
      <w:pPr>
        <w:pStyle w:val="FirstParagraph"/>
      </w:pPr>
      <w:r>
        <w:t xml:space="preserve">All networks were implemented in PyTorch</w:t>
      </w:r>
      <w:r>
        <w:t xml:space="preserve"> </w:t>
      </w:r>
      <w:r>
        <w:t xml:space="preserve">[</w:t>
      </w:r>
      <w:r>
        <w:t xml:space="preserve">38</w:t>
      </w:r>
      <w:r>
        <w:t xml:space="preserve">]</w:t>
      </w:r>
      <w:r>
        <w:t xml:space="preserve"> </w:t>
      </w:r>
      <w:r>
        <w:t xml:space="preserve">and trained on an Apple M1</w:t>
      </w:r>
      <w:r>
        <w:t xml:space="preserve"> </w:t>
      </w:r>
      <w:r>
        <w:t xml:space="preserve">MacBook Air with 8 GB of unified memory using the Metal (MPS) backend, under macOS, Python 3.11.17 and PyTorch 2.14.1. Mixed precision was not</w:t>
      </w:r>
      <w:r>
        <w:t xml:space="preserve"> </w:t>
      </w:r>
      <w:r>
        <w:t xml:space="preserve">used. A mean training epoch took 26.8 s for Client A, 38.5 s for Client B, 65.4 s for Client C and</w:t>
      </w:r>
      <w:r>
        <w:t xml:space="preserve"> </w:t>
      </w:r>
      <w:r>
        <w:t xml:space="preserve">28.2 s for Client D. Every experiment was repeated with the random seeds 42, 43 and 44, and results</w:t>
      </w:r>
      <w:r>
        <w:t xml:space="preserve"> </w:t>
      </w:r>
      <w:r>
        <w:t xml:space="preserve">are reported as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 over the three seeds. Table V lists all</w:t>
      </w:r>
      <w:r>
        <w:t xml:space="preserve"> </w:t>
      </w:r>
      <w:r>
        <w:t xml:space="preserve">hyperparameters; they are identical for every client so that only the architecture and the data</w:t>
      </w:r>
      <w:r>
        <w:t xml:space="preserve"> </w:t>
      </w:r>
      <w:r>
        <w:t xml:space="preserve">differ.</w:t>
      </w:r>
    </w:p>
    <w:p>
      <w:pPr>
        <w:pStyle w:val="TableCaption"/>
      </w:pPr>
      <w:r>
        <w:t xml:space="preserve">TABLE V. Hyperparameters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V. Hyperparameters"/>
        <w:tblW w:w="5000" w:type="pct"/>
        <w:tblBorders>
          <w:top w:val="single" w:sz="12" w:color="000000"/>
          <w:bottom w:val="single" w:sz="12" w:color="000000"/>
        </w:tblBorders>
      </w:tblPr>
      <w:tblGrid>
        <w:gridCol w:w="4680"/>
        <w:gridCol w:w="468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Parameter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Input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12</m:t>
              </m:r>
              <m:r>
                <m:rPr>
                  <m:sty m:val="p"/>
                </m:rPr>
                <m:t>×</m:t>
              </m:r>
              <m:r>
                <m:t>1000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(10 s at 100 Hz)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Number of clients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 (A, B, C, D), 2 PTB-XL folds each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Communication rounds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 (one-shot; probabilities only)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Local epochs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up to 50; early stopping, patience 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Early-stopping criterion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macro AUROC on fold 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Batch size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Optimizer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AdamW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39</w:t>
            </w:r>
            <w:r>
              <w:rPr>
                <w:sz w:val="18"/>
              </w:rPr>
              <w:t xml:space="preserve">]</w:t>
            </w:r>
            <w:r>
              <w:rPr>
                <w:sz w:val="18"/>
              </w:rPr>
              <w:t xml:space="preserve">, weight decay</w:t>
            </w:r>
            <w:r>
              <w:rPr>
                <w:sz w:val="18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Learning rate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18"/>
              </w:rPr>
              <w:t xml:space="preserve">, OneCycle schedule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40</w:t>
            </w:r>
            <w:r>
              <w:rPr>
                <w:sz w:val="18"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Loss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BCE with logits, positive weight</w:t>
            </w:r>
            <w:r>
              <w:rPr>
                <w:sz w:val="18"/>
              </w:rPr>
              <w:t xml:space="preserve"> </w:t>
            </w:r>
            <m:oMath>
              <m:sSubSup>
                <m:e>
                  <m:r>
                    <m:t>N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Gradient clipping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global norm 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Head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Linear 256, ReLU, dropout 0.3, Linear 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Activation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ReLU (BiLSTM: sigmoid/tanh gates)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Calibration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 temperature per client, LBFGS on fold 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Aggregation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equal / static / dynamic gate; selection by 5-fold patient-grouped CV, margin 0.002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Static gate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 weights, Adam lr 0.05, 500 steps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Dynamic gate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MLP 24–32–4, dropout 0.2, AdamW lr</w:t>
            </w:r>
            <w:r>
              <w:rPr>
                <w:sz w:val="18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rPr>
                <w:sz w:val="18"/>
              </w:rPr>
              <w:t xml:space="preserve">300 epochs, patience 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Thresholds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per class, max. F1 on fold 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Bootstrap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1,000 resamples (95% CI, paired)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Seeds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42, 43, 44</w:t>
            </w:r>
          </w:p>
        </w:tc>
      </w:tr>
    </w:tbl>
    <w:p>
      <w:pPr>
        <w:pStyle w:val="BodyText"/>
      </w:pPr>
      <w:r>
        <w:t xml:space="preserve">Because the task is multi-label, every metric is first computed per class from that class’s</w:t>
      </w:r>
      <w:r>
        <w:t xml:space="preserve"> </w:t>
      </w:r>
      <w:r>
        <w:t xml:space="preserve">confusion counts</w:t>
      </w:r>
      <w:r>
        <w:t xml:space="preserve"> </w:t>
      </w:r>
      <m:oMath>
        <m:r>
          <m:t>T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test records, and then macro-averaged</w:t>
      </w:r>
      <w:r>
        <w:t xml:space="preserve"> </w:t>
      </w:r>
      <w:r>
        <w:t xml:space="preserve">over the five classes: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1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label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f>
                <m:fPr>
                  <m:type m:val="bar"/>
                </m:fPr>
                <m:num>
                  <m:r>
                    <m:t>T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exact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bi"/>
                        </m:rPr>
                        <m:t>y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rPr>
                          <m:sty m:val="bi"/>
                        </m:rP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  <m:r>
            <m:t>  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Label-wise accuracy (reported as</w:t>
      </w:r>
      <w:r>
        <w:t xml:space="preserve"> </w:t>
      </w:r>
      <w:r>
        <w:t xml:space="preserve">“Acc.”</w:t>
      </w:r>
      <w:r>
        <w:t xml:space="preserve">) counts every one of the five decisions per record, whereas</w:t>
      </w:r>
      <w:r>
        <w:t xml:space="preserve"> </w:t>
      </w:r>
      <w:r>
        <w:t xml:space="preserve">exact-match accuracy requires all five decisions of a record to be correct. The area under the ROC</w:t>
      </w:r>
      <w:r>
        <w:t xml:space="preserve"> </w:t>
      </w:r>
      <w:r>
        <w:t xml:space="preserve">curve is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b>
              <m:e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r>
          <m:t>d</m:t>
        </m:r>
        <m:r>
          <m:t> 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</m:e>
          <m:sub>
            <m:r>
              <m:t>c</m:t>
            </m:r>
          </m:sub>
        </m:sSub>
      </m:oMath>
      <w:r>
        <w:t xml:space="preserve">, the probability that a random</w:t>
      </w:r>
      <w:r>
        <w:t xml:space="preserve"> </w:t>
      </w:r>
      <w:r>
        <w:t xml:space="preserve">positive is ranked above a random negative, and is threshold-free; AUPRC is the area under the</w:t>
      </w:r>
      <w:r>
        <w:t xml:space="preserve"> </w:t>
      </w:r>
      <w:r>
        <w:t xml:space="preserve">precision–recall curve. Macro AUROC is the primary metric, because it is insensitive to the</w:t>
      </w:r>
      <w:r>
        <w:t xml:space="preserve"> </w:t>
      </w:r>
      <w:r>
        <w:t xml:space="preserve">decision thresholds and to class prevalence, and its 95% confidence interval is obtained with 1,000</w:t>
      </w:r>
      <w:r>
        <w:t xml:space="preserve"> </w:t>
      </w:r>
      <w:r>
        <w:t xml:space="preserve">bootstrap resamples of the test records</w:t>
      </w:r>
      <w:r>
        <w:t xml:space="preserve"> </w:t>
      </w:r>
      <w:r>
        <w:t xml:space="preserve">[</w:t>
      </w:r>
      <w:r>
        <w:t xml:space="preserve">41</w:t>
      </w:r>
      <w:r>
        <w:t xml:space="preserve">]</w:t>
      </w:r>
      <w:r>
        <w:t xml:space="preserve">. Differences between two models are</w:t>
      </w:r>
      <w:r>
        <w:t xml:space="preserve"> </w:t>
      </w:r>
      <w:r>
        <w:t xml:space="preserve">assessed with a paired bootstrap on the same resamples. Regression metrics (MAE, RMSE,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do not</w:t>
      </w:r>
      <w:r>
        <w:t xml:space="preserve"> </w:t>
      </w:r>
      <w:r>
        <w:t xml:space="preserve">apply because the task has no continuous target (Section III-D).</w:t>
      </w:r>
    </w:p>
    <w:bookmarkEnd w:id="42"/>
    <w:bookmarkStart w:id="46" w:name="X18c4da4e9e94bd1a20e1311ec56dbf39338d48c"/>
    <w:p>
      <w:pPr>
        <w:pStyle w:val="Heading2"/>
      </w:pPr>
      <w:r>
        <w:t xml:space="preserve">C. Comparison of Performance Metrics With Traditional Machine Learning Models and Unimodal Models</w:t>
      </w:r>
    </w:p>
    <w:p>
      <w:pPr>
        <w:pStyle w:val="FirstParagraph"/>
      </w:pPr>
      <w:r>
        <w:t xml:space="preserve">Table VI compares the proposed model with the individual deep clients, with the two</w:t>
      </w:r>
      <w:r>
        <w:t xml:space="preserve"> </w:t>
      </w:r>
      <w:r>
        <w:t xml:space="preserve">learned aggregation variants and with a centrally trained reference. All rows were evaluated once</w:t>
      </w:r>
      <w:r>
        <w:t xml:space="preserve"> </w:t>
      </w:r>
      <w:r>
        <w:t xml:space="preserve">on the same test fold with thresholds chosen on fold 9. The traditional classifiers use 172</w:t>
      </w:r>
      <w:r>
        <w:t xml:space="preserve"> </w:t>
      </w:r>
      <w:r>
        <w:t xml:space="preserve">hand-crafted features computed from the filtered, un-normalised signal: per-lead amplitude statistics</w:t>
      </w:r>
      <w:r>
        <w:t xml:space="preserve"> </w:t>
      </w:r>
      <w:r>
        <w:t xml:space="preserve">(standard deviation, minimum, maximum, range, skewness, kurtosis, mean absolute slope), relative</w:t>
      </w:r>
      <w:r>
        <w:t xml:space="preserve"> </w:t>
      </w:r>
      <w:r>
        <w:t xml:space="preserve">spectral power in the 0.5–5, 5–15 and 15–40 Hz bands, heart rate and RR-interval variability from</w:t>
      </w:r>
      <w:r>
        <w:t xml:space="preserve"> </w:t>
      </w:r>
      <w:r>
        <w:t xml:space="preserve">R peaks detected in lead II, and per-lead median R, S, ST and T amplitudes around those peaks. They</w:t>
      </w:r>
      <w:r>
        <w:t xml:space="preserve"> </w:t>
      </w:r>
      <w:r>
        <w:t xml:space="preserve">were trained on the pooled folds 1–8, Platt-scaled on fold 9 and thresholded on fold 9 like the deep</w:t>
      </w:r>
      <w:r>
        <w:t xml:space="preserve"> </w:t>
      </w:r>
      <w:r>
        <w:t xml:space="preserve">models; Random Forest and XGBoost were run with the three seeds, while logistic regression, the RBF SVM</w:t>
      </w:r>
      <w:r>
        <w:t xml:space="preserve"> </w:t>
      </w:r>
      <w:r>
        <w:t xml:space="preserve">and KNN are deterministic.</w:t>
      </w:r>
    </w:p>
    <w:p>
      <w:pPr>
        <w:pStyle w:val="TableCaption"/>
      </w:pPr>
      <w:r>
        <w:t xml:space="preserve">TABLE VI. Comparison with traditional machine-learning models, the individual deep clients and the</w:t>
      </w:r>
      <w:r>
        <w:t xml:space="preserve"> </w:t>
      </w:r>
      <w:r>
        <w:t xml:space="preserve">aggregation variants on the PTB-XL test fold 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 3 seeds; Acc. = label-wise</w:t>
      </w:r>
      <w:r>
        <w:t xml:space="preserve"> </w:t>
      </w:r>
      <w:r>
        <w:t xml:space="preserve">accuracy; Prec., Rec., F1, AUROC and AUPRC are macro averages over the five superclasses)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VI. Comparison with traditional machine-learning models, the individual deep clients and the aggregation variants on the PTB-XL test fold (mean \pm SD over 3 seeds; Acc. = label-wise accuracy; Prec., Rec., F1, AUROC and AUPRC are macro averages over the five superclasses)"/>
        <w:tblW w:w="5000" w:type="pct"/>
        <w:tblBorders>
          <w:top w:val="single" w:sz="12" w:color="000000"/>
          <w:bottom w:val="single" w:sz="12" w:color="000000"/>
        </w:tblBorders>
      </w:tblPr>
      <w:tblGrid>
        <w:gridCol w:w="1372"/>
        <w:gridCol w:w="726"/>
        <w:gridCol w:w="1130"/>
        <w:gridCol w:w="1130"/>
        <w:gridCol w:w="1130"/>
        <w:gridCol w:w="1130"/>
        <w:gridCol w:w="1372"/>
        <w:gridCol w:w="1372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Params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Acc. (%)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Prec. (%)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Rec. (%)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F1 (%)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AUPRC</w:t>
            </w:r>
          </w:p>
        </w:tc>
      </w:tr>
      <w:tr>
        <w:tc>
          <w:tcPr>
            <w:gridSpan w:val="8"/>
          </w:tcPr>
          <w:p>
            <w:pPr>
              <w:pStyle w:val="Compact"/>
              <w:spacing w:after="0"/>
              <w:jc w:val="left"/>
            </w:pPr>
            <w:r>
              <w:rPr>
                <w:i/>
                <w:iCs/>
                <w:sz w:val="18"/>
              </w:rPr>
              <w:t xml:space="preserve">Traditional machine learning (172 hand-crafted features, pooled folds 1–8)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Logistic Regression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84.4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65.3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71.7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0.724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SVM (RBF)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85.8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67.3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74.5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0.772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74.0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71.2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0.778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KNN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82.2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60.8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64.4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0.859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0.700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69.7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76.3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72.6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0.789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0.003</w:t>
            </w:r>
          </w:p>
        </w:tc>
      </w:tr>
      <w:tr>
        <w:tc>
          <w:tcPr>
            <w:gridSpan w:val="8"/>
          </w:tcPr>
          <w:p>
            <w:pPr>
              <w:pStyle w:val="Compact"/>
              <w:spacing w:after="0"/>
              <w:jc w:val="left"/>
            </w:pPr>
            <w:r>
              <w:rPr>
                <w:i/>
                <w:iCs/>
                <w:sz w:val="18"/>
              </w:rPr>
              <w:t xml:space="preserve">Single deep clients (25% of training data each)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A: 1D CNN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0.44M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84.8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64.6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72.6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0.738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B: 1D ResNet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6.73M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84.0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63.0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73.4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67.2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0.721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C: BiLSTM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0.67M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85.5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66.2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73.3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0.745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D: CNN-LSTM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0.47M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85.7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67.0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72.2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0.749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0.006</w:t>
            </w:r>
          </w:p>
        </w:tc>
      </w:tr>
      <w:tr>
        <w:tc>
          <w:tcPr>
            <w:gridSpan w:val="8"/>
          </w:tcPr>
          <w:p>
            <w:pPr>
              <w:pStyle w:val="Compact"/>
              <w:spacing w:after="0"/>
              <w:jc w:val="left"/>
            </w:pPr>
            <w:r>
              <w:rPr>
                <w:i/>
                <w:iCs/>
                <w:sz w:val="18"/>
              </w:rPr>
              <w:t xml:space="preserve">Aggregation of the four clients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Static learned weights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72.8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0.764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Dynamic gate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sz w:val="18"/>
              </w:rPr>
              <w:t xml:space="preserve">1k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72.9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0.759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bCs/>
                <w:sz w:val="18"/>
              </w:rPr>
              <w:t xml:space="preserve">Proposed (equal-weight gate)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8.31M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72.5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2.1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70.7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0.767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</w:tr>
      <w:tr>
        <w:tc>
          <w:tcPr>
            <w:gridSpan w:val="8"/>
          </w:tcPr>
          <w:p>
            <w:pPr>
              <w:pStyle w:val="Compact"/>
              <w:spacing w:after="0"/>
              <w:jc w:val="left"/>
            </w:pPr>
            <w:r>
              <w:rPr>
                <w:i/>
                <w:iCs/>
                <w:sz w:val="18"/>
              </w:rPr>
              <w:t xml:space="preserve">Centralised reference (data pooled, not federated)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CNN-LSTM on folds 1–8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0.47M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74.0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70.7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0.774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</w:tr>
    </w:tbl>
    <w:p>
      <w:pPr>
        <w:pStyle w:val="BodyText"/>
      </w:pPr>
      <w:r>
        <w:t xml:space="preserve">The four deep clients, each trained on only a quarter of the training data, reach test macro AUROCs</w:t>
      </w:r>
      <w:r>
        <w:t xml:space="preserve"> </w:t>
      </w:r>
      <w:r>
        <w:t xml:space="preserve">between 0.882 (Client B, 1D ResNet) and 0.896 (Client D, CNN-LSTM). The recurrent clients rank best:</w:t>
      </w:r>
      <w:r>
        <w:t xml:space="preserve"> </w:t>
      </w:r>
      <w:r>
        <w:t xml:space="preserve">the BiLSTM (0.894) and the CNN-LSTM (0.896) outperform both convolutional clients, and the ResNet,</w:t>
      </w:r>
      <w:r>
        <w:t xml:space="preserve"> </w:t>
      </w:r>
      <w:r>
        <w:t xml:space="preserve">despite having the most parameters (6.73M), is the weakest, which is consistent with its early</w:t>
      </w:r>
      <w:r>
        <w:t xml:space="preserve"> </w:t>
      </w:r>
      <w:r>
        <w:t xml:space="preserve">stopping after 13.7 epochs on average (Table XIV) and indicates over-fitting on</w:t>
      </w:r>
      <w:r>
        <w:t xml:space="preserve"> </w:t>
      </w:r>
      <w:r>
        <w:t xml:space="preserve">4,280 records. The proposed equal-weight gate raises the macro AUROC to 0.905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0.000, the</w:t>
      </w:r>
      <w:r>
        <w:t xml:space="preserve"> </w:t>
      </w:r>
      <w:r>
        <w:t xml:space="preserve">label-wise accuracy to 86.9% (from at most 85.7%), the macro F1 to 70.7% (from at most 69.2%)</w:t>
      </w:r>
      <w:r>
        <w:t xml:space="preserve"> </w:t>
      </w:r>
      <w:r>
        <w:t xml:space="preserve">and the macro precision to 69.8% (from at most 67.0%), while keeping the recall (72.5%) at the</w:t>
      </w:r>
      <w:r>
        <w:t xml:space="preserve"> </w:t>
      </w:r>
      <w:r>
        <w:t xml:space="preserve">level of the clients. Its AUPRC of 0.767 is also the highest among the federated models. A CNN-LSTM</w:t>
      </w:r>
      <w:r>
        <w:t xml:space="preserve"> </w:t>
      </w:r>
      <w:r>
        <w:t xml:space="preserve">trained centrally on all eight training folds, which is not possible when the data cannot be pooled,</w:t>
      </w:r>
      <w:r>
        <w:t xml:space="preserve"> </w:t>
      </w:r>
      <w:r>
        <w:t xml:space="preserve">attains 0.909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0.001 macro AUROC and the same macro F1 of 70.7%; the federated gate therefore</w:t>
      </w:r>
      <w:r>
        <w:t xml:space="preserve"> </w:t>
      </w:r>
      <w:r>
        <w:t xml:space="preserve">recovers about 70% of the AUROC lost by splitting the data (0.896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0.905 of the</w:t>
      </w:r>
      <w:r>
        <w:t xml:space="preserve"> </w:t>
      </w:r>
      <w:r>
        <w:t xml:space="preserve">0.896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0.909 gap) and is tied with the pooled model in F1. As an external reference for</w:t>
      </w:r>
      <w:r>
        <w:t xml:space="preserve"> </w:t>
      </w:r>
      <w:r>
        <w:t xml:space="preserve">feature-based learning on the same test fold, the wavelet-feature neural network of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reported a superdiagnostic macro AUROC of 0.874.</w:t>
      </w:r>
    </w:p>
    <w:p>
      <w:pPr>
        <w:pStyle w:val="BodyText"/>
      </w:pPr>
      <w:r>
        <w:t xml:space="preserve">The traditional classifiers turn out to be strong baselines. Trained on all pooled data, XGBoost</w:t>
      </w:r>
      <w:r>
        <w:t xml:space="preserve"> </w:t>
      </w:r>
      <w:r>
        <w:t xml:space="preserve">reaches a macro AUROC of 0.909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0.002 and a macro F1 of 72.6%, and Random Forest 0.902 and</w:t>
      </w:r>
      <w:r>
        <w:t xml:space="preserve"> </w:t>
      </w:r>
      <w:r>
        <w:t xml:space="preserve">71.2%, so the best of them matches the pooled CNN-LSTM in AUROC and exceeds both it and the</w:t>
      </w:r>
      <w:r>
        <w:t xml:space="preserve"> </w:t>
      </w:r>
      <w:r>
        <w:t xml:space="preserve">federated gate in F1; KNN (0.859) and logistic regression (0.880) are clearly weaker. The amplitude</w:t>
      </w:r>
      <w:r>
        <w:t xml:space="preserve"> </w:t>
      </w:r>
      <w:r>
        <w:t xml:space="preserve">features are the likely reason: they keep the absolute voltages that the per-recording z-scoring of</w:t>
      </w:r>
      <w:r>
        <w:t xml:space="preserve"> </w:t>
      </w:r>
      <w:r>
        <w:t xml:space="preserve">the deep models removes, and these voltages define hypertrophy. The comparison is, however, not a</w:t>
      </w:r>
      <w:r>
        <w:t xml:space="preserve"> </w:t>
      </w:r>
      <w:r>
        <w:t xml:space="preserve">federated one, because these models see four times as much data as each client. Table VII</w:t>
      </w:r>
      <w:r>
        <w:t xml:space="preserve"> </w:t>
      </w:r>
      <w:r>
        <w:t xml:space="preserve">therefore trains the same classifiers on a single client’s two folds. Under this restriction XGBoost</w:t>
      </w:r>
      <w:r>
        <w:t xml:space="preserve"> </w:t>
      </w:r>
      <w:r>
        <w:t xml:space="preserve">reaches 0.898 on average and Random Forest 0.893–0.895, i.e. the level of the best deep clients</w:t>
      </w:r>
      <w:r>
        <w:t xml:space="preserve"> </w:t>
      </w:r>
      <w:r>
        <w:t xml:space="preserve">(0.894–0.896), and every locally trained model, traditional or deep, remains below the federated</w:t>
      </w:r>
      <w:r>
        <w:t xml:space="preserve"> </w:t>
      </w:r>
      <w:r>
        <w:t xml:space="preserve">gate (0.905).</w:t>
      </w:r>
    </w:p>
    <w:p>
      <w:pPr>
        <w:pStyle w:val="TableCaption"/>
      </w:pPr>
      <w:r>
        <w:t xml:space="preserve">TABLE VII. Traditional classifiers trained locally (one client’s folds;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 clients A–D,</w:t>
      </w:r>
      <w:r>
        <w:t xml:space="preserve"> </w:t>
      </w:r>
      <w:r>
        <w:t xml:space="preserve">seed 42) or on pooled data 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 3 seeds), compared with the best deep clients (test fold)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VII. Traditional classifiers trained locally (one client’s folds; mean \pm SD over clients A–D, seed 42) or on pooled data (mean \pm SD over 3 seeds), compared with the best deep clients (test fold)"/>
        <w:tblW w:w="5000" w:type="pct"/>
        <w:tblBorders>
          <w:top w:val="single" w:sz="12" w:color="000000"/>
          <w:bottom w:val="single" w:sz="12" w:color="000000"/>
        </w:tblBorders>
      </w:tblPr>
      <w:tblGrid>
        <w:gridCol w:w="2014"/>
        <w:gridCol w:w="2014"/>
        <w:gridCol w:w="1659"/>
        <w:gridCol w:w="2014"/>
        <w:gridCol w:w="1659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</w:pPr>
          </w:p>
        </w:tc>
        <w:tc>
          <w:tcPr>
            <w:gridSpan w:val="2"/>
            <w:tcBorders>
              <w:bottom w:val="single" w:sz="6" w:color="000000"/>
            </w:tcBorders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Local (one client, mean of A–D)</w:t>
            </w:r>
          </w:p>
        </w:tc>
        <w:tc>
          <w:tcPr>
            <w:gridSpan w:val="2"/>
            <w:tcBorders>
              <w:bottom w:val="single" w:sz="6" w:color="000000"/>
            </w:tcBorders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Pooled (folds 1–8)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2-3</w:t>
            </w:r>
            <w:r>
              <w:rPr>
                <w:sz w:val="18"/>
              </w:rPr>
              <w:t xml:space="preserve">(l)</w:t>
            </w:r>
            <w:r>
              <w:rPr>
                <w:sz w:val="18"/>
              </w:rPr>
              <w:t xml:space="preserve">4-5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AUROC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F1 (%)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AUROC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F1 (%)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Logistic Regression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0.870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67.0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SVM (RBF)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71.2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KNN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0.847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63.3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0.859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64.4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72.6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Deep client C (BiLSTM)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Deep client D (CNN-LSTM)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</w:tr>
    </w:tbl>
    <w:p>
      <w:pPr>
        <w:pStyle w:val="BodyText"/>
      </w:pPr>
      <w:r>
        <w:t xml:space="preserve">The study uses a single input modality, the 12-lead ECG, so a comparison of unimodal and multimodal</w:t>
      </w:r>
      <w:r>
        <w:t xml:space="preserve"> </w:t>
      </w:r>
      <w:r>
        <w:t xml:space="preserve">models in the strict sense is not possible. Table VIII instead contrasts each</w:t>
      </w:r>
      <w:r>
        <w:t xml:space="preserve"> </w:t>
      </w:r>
      <w:r>
        <w:t xml:space="preserve">single-architecture client with the federated combination of all four, per superclass. The gate</w:t>
      </w:r>
      <w:r>
        <w:t xml:space="preserve"> </w:t>
      </w:r>
      <w:r>
        <w:t xml:space="preserve">achieves the highest AUROC in every class, and its largest gain over the best client is observed for</w:t>
      </w:r>
      <w:r>
        <w:t xml:space="preserve"> </w:t>
      </w:r>
      <w:r>
        <w:t xml:space="preserve">the hardest class, HYP (0.828 versus at most 0.809). This indicates that the clients make partly</w:t>
      </w:r>
      <w:r>
        <w:t xml:space="preserve"> </w:t>
      </w:r>
      <w:r>
        <w:t xml:space="preserve">independent errors that the combination averages out, the same mechanism that motivates</w:t>
      </w:r>
      <w:r>
        <w:t xml:space="preserve"> </w:t>
      </w:r>
      <w:r>
        <w:t xml:space="preserve">multimodal fusion, but obtained here from architectural rather than modal diversity.</w:t>
      </w:r>
    </w:p>
    <w:p>
      <w:pPr>
        <w:pStyle w:val="TableCaption"/>
      </w:pPr>
      <w:r>
        <w:t xml:space="preserve">TABLE VIII. Single clients versus the federated gate: test AUROC per superclass (mean of 3 seeds; best in bold)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VIII. Single clients versus the federated gate: test AUROC per superclass (mean of 3 seeds; best in bold)"/>
        <w:tblW w:w="5000" w:type="pct"/>
        <w:tblBorders>
          <w:top w:val="single" w:sz="12" w:color="000000"/>
          <w:bottom w:val="single" w:sz="12" w:color="000000"/>
        </w:tblBorders>
      </w:tblPr>
      <w:tblGrid>
        <w:gridCol w:w="2566"/>
        <w:gridCol w:w="1132"/>
        <w:gridCol w:w="1132"/>
        <w:gridCol w:w="1132"/>
        <w:gridCol w:w="1132"/>
        <w:gridCol w:w="1132"/>
        <w:gridCol w:w="1132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NORM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MI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STTC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CD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HYP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Macro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A (1D CNN)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B (1D ResNet)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0.922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0.877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0.808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C (BiLSTM)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0.931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0.809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D (CNN-LSTM)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0.808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bCs/>
                <w:sz w:val="18"/>
              </w:rPr>
              <w:t xml:space="preserve">Proposed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0.938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0.914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0.828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</w:p>
        </w:tc>
      </w:tr>
    </w:tbl>
    <w:p>
      <w:pPr>
        <w:pStyle w:val="BodyText"/>
      </w:pPr>
      <w:r>
        <w:t xml:space="preserve">The gain over the best single client is statistically significant. In a paired bootstrap on the test</w:t>
      </w:r>
      <w:r>
        <w:t xml:space="preserve"> </w:t>
      </w:r>
      <w:r>
        <w:t xml:space="preserve">fold, the macro AUROC of the gate exceeds that of the best client chosen on fold 9 by +0.012</w:t>
      </w:r>
      <w:r>
        <w:t xml:space="preserve"> </w:t>
      </w:r>
      <w:r>
        <w:t xml:space="preserve">[+0.009, +0.016] for seed 42 (Client C), +0.011 [+0.007, +0.014] for seed 43 (Client C) and +0.009</w:t>
      </w:r>
      <w:r>
        <w:t xml:space="preserve"> </w:t>
      </w:r>
      <w:r>
        <w:t xml:space="preserve">[+0.005, +0.013] for seed 44 (Client D), so every confidence interval lies above zero. The macro F1</w:t>
      </w:r>
      <w:r>
        <w:t xml:space="preserve"> </w:t>
      </w:r>
      <w:r>
        <w:t xml:space="preserve">improves by +0.018 [+0.009, +0.028], +0.010 [</w:t>
      </w:r>
      <m:oMath>
        <m:r>
          <m:rPr>
            <m:sty m:val="p"/>
          </m:rPr>
          <m:t>−</m:t>
        </m:r>
      </m:oMath>
      <w:r>
        <w:t xml:space="preserve">0.001, +0.021] and +0.024 [+0.014, +0.034],</w:t>
      </w:r>
      <w:r>
        <w:t xml:space="preserve"> </w:t>
      </w:r>
      <w:r>
        <w:t xml:space="preserve">respectively, with the interval excluding zero in two of the three seeds. Fig. 5</w:t>
      </w:r>
      <w:r>
        <w:t xml:space="preserve"> </w:t>
      </w:r>
      <w:r>
        <w:t xml:space="preserve">summarises the macro AUROC of all models.</w:t>
      </w:r>
    </w:p>
    <w:p>
      <w:pPr>
        <w:pStyle w:val="CaptionedFigure"/>
        <w:jc w:val="center"/>
      </w:pPr>
      <w:r>
        <w:drawing>
          <wp:inline>
            <wp:extent cx="4023360" cy="253825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odel_comparis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53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 Test macro AUROC of the four clients and the three aggregation variants 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</w:t>
      </w:r>
      <w:r>
        <w:t xml:space="preserve"> </w:t>
      </w:r>
      <w:r>
        <w:t xml:space="preserve">3 seeds). The dashed line marks the centrally trained CNN-LSTM.</w:t>
      </w:r>
    </w:p>
    <w:bookmarkEnd w:id="46"/>
    <w:bookmarkStart w:id="53" w:name="d.-ablation-experiments"/>
    <w:p>
      <w:pPr>
        <w:pStyle w:val="Heading2"/>
      </w:pPr>
      <w:r>
        <w:t xml:space="preserve">D. Ablation Experiments</w:t>
      </w:r>
    </w:p>
    <w:bookmarkStart w:id="47" w:name="modality-ablation-experiment"/>
    <w:p>
      <w:pPr>
        <w:pStyle w:val="Heading3"/>
      </w:pPr>
      <w:r>
        <w:t xml:space="preserve">1) Modality Ablation Experiment</w:t>
      </w:r>
    </w:p>
    <w:p>
      <w:pPr>
        <w:pStyle w:val="FirstParagraph"/>
      </w:pPr>
      <w:r>
        <w:t xml:space="preserve">Since the ECG is the only modality, the input-source ablation was carried out over the</w:t>
      </w:r>
      <w:r>
        <w:t xml:space="preserve"> </w:t>
      </w:r>
      <w:r>
        <w:t xml:space="preserve">participating institutions: every one of the 15 non-empty subsets of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was combined with</w:t>
      </w:r>
      <w:r>
        <w:t xml:space="preserve"> </w:t>
      </w:r>
      <w:r>
        <w:t xml:space="preserve">equal weights and evaluated on fold 9 (cross-validated) and on the test fold. The results, ordered by</w:t>
      </w:r>
      <w:r>
        <w:t xml:space="preserve"> </w:t>
      </w:r>
      <w:r>
        <w:t xml:space="preserve">the number of clients, are given in Table IX, and Table X converts them</w:t>
      </w:r>
      <w:r>
        <w:t xml:space="preserve"> </w:t>
      </w:r>
      <w:r>
        <w:t xml:space="preserve">into a Shapley value per client.</w:t>
      </w:r>
    </w:p>
    <w:p>
      <w:pPr>
        <w:pStyle w:val="TableCaption"/>
      </w:pPr>
      <w:r>
        <w:t xml:space="preserve">TABLE IX. Client-subset ablation (equal-weight gate; mean over 3 seeds, test SD shown)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IX. Client-subset ablation (equal-weight gate; mean over 3 seeds, test SD shown)"/>
        <w:tblW w:w="5000" w:type="pct"/>
        <w:tblBorders>
          <w:top w:val="single" w:sz="12" w:color="000000"/>
          <w:bottom w:val="single" w:sz="12" w:color="000000"/>
        </w:tblBorders>
      </w:tblPr>
      <w:tblGrid>
        <w:gridCol w:w="1640"/>
        <w:gridCol w:w="1230"/>
        <w:gridCol w:w="2323"/>
        <w:gridCol w:w="2323"/>
        <w:gridCol w:w="1845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#Clients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Subset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Fold-9 CV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Test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vs. ABCD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bCs/>
                <w:sz w:val="18"/>
              </w:rPr>
              <w:t xml:space="preserve">ABCD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ACD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BCD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-0.001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ABC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-0.004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ABD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-0.003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-0.002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-0.005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-0.004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-0.007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-0.005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AB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-0.010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-0.011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-0.009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-0.017</w:t>
            </w:r>
          </w:p>
        </w:tc>
      </w:tr>
      <w:tr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-0.023</w:t>
            </w:r>
          </w:p>
        </w:tc>
      </w:tr>
    </w:tbl>
    <w:p>
      <w:pPr>
        <w:pStyle w:val="BodyText"/>
      </w:pPr>
      <w:r>
        <w:t xml:space="preserve">The full federation ABCD is the best configuration on both splits (fold 9: 0.909; test: 0.905).</w:t>
      </w:r>
      <w:r>
        <w:t xml:space="preserve"> </w:t>
      </w:r>
      <w:r>
        <w:t xml:space="preserve">Every two-client combination outperforms every single client on the test fold, so most of the gain</w:t>
      </w:r>
      <w:r>
        <w:t xml:space="preserve"> </w:t>
      </w:r>
      <w:r>
        <w:t xml:space="preserve">comes from combining heterogeneous models at all, and adding clients yields diminishing returns</w:t>
      </w:r>
      <w:r>
        <w:t xml:space="preserve"> </w:t>
      </w:r>
      <w:r>
        <w:t xml:space="preserve">(single: at most 0.896; pairs: at most 0.903; triples: at most 0.905). Removing the recurrent clients</w:t>
      </w:r>
      <w:r>
        <w:t xml:space="preserve"> </w:t>
      </w:r>
      <w:r>
        <w:t xml:space="preserve">hurts most: dropping D lowers the test AUROC by 0.004 and dropping C by 0.003, whereas dropping A or B</w:t>
      </w:r>
      <w:r>
        <w:t xml:space="preserve"> </w:t>
      </w:r>
      <w:r>
        <w:t xml:space="preserve">costs at most 0.001. The Shapley values in Table X confirm this ranking (C and D</w:t>
      </w:r>
      <w:r>
        <w:t xml:space="preserve"> </w:t>
      </w:r>
      <w:r>
        <w:t xml:space="preserve">largest, B smallest), but they also show that the four contributions are of the same order</w:t>
      </w:r>
      <w:r>
        <w:t xml:space="preserve"> </w:t>
      </w:r>
      <w:r>
        <w:t xml:space="preserve">(0.097–0.105 on the test fold). This explains why equal weighting works well: the learned static</w:t>
      </w:r>
      <w:r>
        <w:t xml:space="preserve"> </w:t>
      </w:r>
      <w:r>
        <w:t xml:space="preserve">weights assign almost nothing to Client A (0.001 on average), although its marginal contribution to</w:t>
      </w:r>
      <w:r>
        <w:t xml:space="preserve"> </w:t>
      </w:r>
      <w:r>
        <w:t xml:space="preserve">the federation is comparable to that of the other clients.</w:t>
      </w:r>
    </w:p>
    <w:p>
      <w:pPr>
        <w:pStyle w:val="TableCaption"/>
      </w:pPr>
      <w:r>
        <w:t xml:space="preserve">TABLE X. Shapley value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each client for the macro AUROC of the equal-weight federation</w:t>
      </w:r>
      <w:r>
        <w:t xml:space="preserve"> </w:t>
      </w:r>
      <w:r>
        <w:t xml:space="preserve">(</w:t>
      </w:r>
      <m:oMath>
        <m:r>
          <m:t>v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) and the mean learned static weight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. Shapley value \phi_i of each client for the macro AUROC of the equal-weight federation (v(\emptyset)=0.5) and the mean learned static weight"/>
        <w:tblW w:w="5000" w:type="pct"/>
        <w:tblBorders>
          <w:top w:val="single" w:sz="12" w:color="000000"/>
          <w:bottom w:val="single" w:sz="12" w:color="000000"/>
        </w:tblBorders>
      </w:tblPr>
      <w:tblGrid>
        <w:gridCol w:w="1257"/>
        <w:gridCol w:w="2375"/>
        <w:gridCol w:w="1886"/>
        <w:gridCol w:w="1467"/>
        <w:gridCol w:w="2375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Architecture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m:oMath>
              <m:r>
                <m:t>ϕ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(fold 9)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m:oMath>
              <m:r>
                <m:t>ϕ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(test)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Static weight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1D CNN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0.1009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0.0998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1D ResNet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0.0980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0.0971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0.042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BiLSTM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0.1055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0.1033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0.549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CNN-LSTM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0.1043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0.1047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Sum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0.4087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0.4050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1.000</w:t>
            </w:r>
          </w:p>
        </w:tc>
      </w:tr>
    </w:tbl>
    <w:bookmarkEnd w:id="47"/>
    <w:bookmarkStart w:id="51" w:name="Xf2b322c72c3d3f4a2e9f65346d2b1be37d63129"/>
    <w:p>
      <w:pPr>
        <w:pStyle w:val="Heading3"/>
      </w:pPr>
      <w:r>
        <w:t xml:space="preserve">2) Feature Fusion Module Ablation Experiments</w:t>
      </w:r>
    </w:p>
    <w:p>
      <w:pPr>
        <w:pStyle w:val="FirstParagraph"/>
      </w:pPr>
      <w:r>
        <w:t xml:space="preserve">Table XI compares the three fusion strategies of Section III-E: equal weights,</w:t>
      </w:r>
      <w:r>
        <w:t xml:space="preserve"> </w:t>
      </w:r>
      <w:r>
        <w:t xml:space="preserve">learned static weights and the dynamic per-patient gate. All three are late (decision-level) fusion</w:t>
      </w:r>
      <w:r>
        <w:t xml:space="preserve"> </w:t>
      </w:r>
      <w:r>
        <w:t xml:space="preserve">strategies, because the clients do not share embeddings; early or feature-level fusion is excluded by</w:t>
      </w:r>
      <w:r>
        <w:t xml:space="preserve"> </w:t>
      </w:r>
      <w:r>
        <w:t xml:space="preserve">the privacy constraint. The validation columns are the patient-grouped cross-validated values used for</w:t>
      </w:r>
      <w:r>
        <w:t xml:space="preserve"> </w:t>
      </w:r>
      <w:r>
        <w:t xml:space="preserve">selection, and the test columns were obtained afterwards.</w:t>
      </w:r>
    </w:p>
    <w:p>
      <w:pPr>
        <w:pStyle w:val="TableCaption"/>
      </w:pPr>
      <w:r>
        <w:t xml:space="preserve">TABLE XI. Ablation of the fusion strategy (fold-9 CV values used for selection; test values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 3 seeds)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I. Ablation of the fusion strategy (fold-9 CV values used for selection; test values mean \pm SD over 3 seeds)"/>
        <w:tblW w:w="5000" w:type="pct"/>
        <w:tblBorders>
          <w:top w:val="single" w:sz="12" w:color="000000"/>
          <w:bottom w:val="single" w:sz="12" w:color="000000"/>
        </w:tblBorders>
      </w:tblPr>
      <w:tblGrid>
        <w:gridCol w:w="1798"/>
        <w:gridCol w:w="1269"/>
        <w:gridCol w:w="952"/>
        <w:gridCol w:w="1798"/>
        <w:gridCol w:w="1745"/>
        <w:gridCol w:w="1798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Fusion strategy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CV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CV BCE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Test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Test F1 (%)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Exact match (%)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bCs/>
                <w:sz w:val="18"/>
              </w:rPr>
              <w:t xml:space="preserve">Equal weights (selected)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0.372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70.7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58.1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Static learned weights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0.346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57.0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Dynamic per-patient gate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0.338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56.8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0.7</w:t>
            </w:r>
          </w:p>
        </w:tc>
      </w:tr>
    </w:tbl>
    <w:p>
      <w:pPr>
        <w:pStyle w:val="BodyText"/>
      </w:pPr>
      <w:r>
        <w:t xml:space="preserve">Equal weights achieve the highest cross-validated macro AUROC (0.909) and were selected in all three</w:t>
      </w:r>
      <w:r>
        <w:t xml:space="preserve"> </w:t>
      </w:r>
      <w:r>
        <w:t xml:space="preserve">seeds; learned static weights (0.907) and the dynamic gate (0.904) did not reach the required</w:t>
      </w:r>
      <w:r>
        <w:t xml:space="preserve"> </w:t>
      </w:r>
      <w:r>
        <w:t xml:space="preserve">margin. The learned combiners achieve a lower cross-validated binary cross-entropy (0.346 and 0.338</w:t>
      </w:r>
      <w:r>
        <w:t xml:space="preserve"> </w:t>
      </w:r>
      <w:r>
        <w:t xml:space="preserve">versus 0.372), i.e. they produce better-calibrated probabilities, but they do so by concentrating</w:t>
      </w:r>
      <w:r>
        <w:t xml:space="preserve"> </w:t>
      </w:r>
      <w:r>
        <w:t xml:space="preserve">the weight on Clients C and D (Fig. 6), which sacrifices the diversity contributed by</w:t>
      </w:r>
      <w:r>
        <w:t xml:space="preserve"> </w:t>
      </w:r>
      <w:r>
        <w:t xml:space="preserve">A and B and lowers the ranking quality. The dynamic gate never outperformed the simpler combiners: its</w:t>
      </w:r>
      <w:r>
        <w:t xml:space="preserve"> </w:t>
      </w:r>
      <w:r>
        <w:t xml:space="preserve">per-patient weights differ little from the static ones (mean test weights 0.002, 0.092, 0.532 and</w:t>
      </w:r>
      <w:r>
        <w:t xml:space="preserve"> </w:t>
      </w:r>
      <w:r>
        <w:t xml:space="preserve">0.374 for A–D), because all clients receive the same ECG and there is little patient-specific</w:t>
      </w:r>
      <w:r>
        <w:t xml:space="preserve"> </w:t>
      </w:r>
      <w:r>
        <w:t xml:space="preserve">information about which client to trust. The same ordering holds on the test fold (0.905, 0.903 and</w:t>
      </w:r>
      <w:r>
        <w:t xml:space="preserve"> </w:t>
      </w:r>
      <w:r>
        <w:t xml:space="preserve">0.901), so the selection made on validation data was confirmed.</w:t>
      </w:r>
    </w:p>
    <w:p>
      <w:pPr>
        <w:pStyle w:val="CaptionedFigure"/>
        <w:jc w:val="center"/>
      </w:pPr>
      <w:r>
        <w:drawing>
          <wp:inline>
            <wp:extent cx="4023360" cy="264448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weight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64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6. Static aggregation weights learned on fold 9 for each seed. The dashed line marks the equal</w:t>
      </w:r>
      <w:r>
        <w:t xml:space="preserve"> </w:t>
      </w:r>
      <w:r>
        <w:t xml:space="preserve">weight 1/4 used by the selected gate.</w:t>
      </w:r>
    </w:p>
    <w:bookmarkEnd w:id="51"/>
    <w:bookmarkStart w:id="52" w:name="X1e6f7c2a8ec28f7b5a0daf705808f1ca433f776"/>
    <w:p>
      <w:pPr>
        <w:pStyle w:val="Heading3"/>
      </w:pPr>
      <w:r>
        <w:t xml:space="preserve">3) Ablation Study on Activation Function and Optimizer</w:t>
      </w:r>
    </w:p>
    <w:p>
      <w:pPr>
        <w:pStyle w:val="FirstParagraph"/>
      </w:pPr>
      <w:r>
        <w:t xml:space="preserve">The choice of activation function and optimizer was examined on Client D (CNN-LSTM, folds 7–8, seed</w:t>
      </w:r>
      <w:r>
        <w:t xml:space="preserve"> </w:t>
      </w:r>
      <w:r>
        <w:t xml:space="preserve">42), keeping every other element of the recipe fixed, including the OneCycle schedule with a maximum</w:t>
      </w:r>
      <w:r>
        <w:t xml:space="preserve"> </w:t>
      </w:r>
      <w:r>
        <w:t xml:space="preserve">learning rate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early stopping on fold 9 and the class-weighted loss. To avoid any tuning</w:t>
      </w:r>
      <w:r>
        <w:t xml:space="preserve"> </w:t>
      </w:r>
      <w:r>
        <w:t xml:space="preserve">on the test data, the ablations were evaluated on fold 9 only. In the activation ablation the ReLU of</w:t>
      </w:r>
      <w:r>
        <w:t xml:space="preserve"> </w:t>
      </w:r>
      <w:r>
        <w:t xml:space="preserve">the convolutional blocks and of the classification head was replaced, while the gates of the LSTM were</w:t>
      </w:r>
      <w:r>
        <w:t xml:space="preserve"> </w:t>
      </w:r>
      <w:r>
        <w:t xml:space="preserve">left unchanged. Tables XII and XIII report the best fold-9 macro AUROC, the epoch at</w:t>
      </w:r>
      <w:r>
        <w:t xml:space="preserve"> </w:t>
      </w:r>
      <w:r>
        <w:t xml:space="preserve">which it was reached, the number of epochs before early stopping and the training loss at the selected</w:t>
      </w:r>
      <w:r>
        <w:t xml:space="preserve"> </w:t>
      </w:r>
      <w:r>
        <w:t xml:space="preserve">epoch.</w:t>
      </w:r>
    </w:p>
    <w:p>
      <w:pPr>
        <w:pStyle w:val="TableCaption"/>
      </w:pPr>
      <w:r>
        <w:t xml:space="preserve">TABLE XII. Activation-function ablation (Client D, CNN-LSTM, seed 42; fold-9 macro AUROC)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II. Activation-function ablation (Client D, CNN-LSTM, seed 42; fold-9 macro AUROC)"/>
        <w:tblW w:w="5000" w:type="pct"/>
        <w:tblBorders>
          <w:top w:val="single" w:sz="12" w:color="000000"/>
          <w:bottom w:val="single" w:sz="12" w:color="000000"/>
        </w:tblBorders>
      </w:tblPr>
      <w:tblGrid>
        <w:gridCol w:w="2358"/>
        <w:gridCol w:w="2429"/>
        <w:gridCol w:w="2429"/>
        <w:gridCol w:w="214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Activation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Fold-9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Best / run epochs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Train loss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ReLU (used)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23 / 31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0.444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LeakyReLU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24 / 32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ELU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14 / 22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0.547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GELU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14 / 22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0.534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Tanh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19 / 27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0.484</w:t>
            </w:r>
          </w:p>
        </w:tc>
      </w:tr>
    </w:tbl>
    <w:p/>
    <w:p>
      <w:pPr>
        <w:pStyle w:val="TableCaption"/>
      </w:pPr>
      <w:r>
        <w:t xml:space="preserve">TABLE XIII. Optimizer ablation (Client D, CNN-LSTM, seed 42; fold-9 macro AUROC; maximum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all optimizers)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III. Optimizer ablation (Client D, CNN-LSTM, seed 42; fold-9 macro AUROC; maximum learning rate 10^{-3} for all optimizers)"/>
        <w:tblW w:w="5000" w:type="pct"/>
        <w:tblBorders>
          <w:top w:val="single" w:sz="12" w:color="000000"/>
          <w:bottom w:val="single" w:sz="12" w:color="000000"/>
        </w:tblBorders>
      </w:tblPr>
      <w:tblGrid>
        <w:gridCol w:w="2411"/>
        <w:gridCol w:w="2411"/>
        <w:gridCol w:w="2411"/>
        <w:gridCol w:w="2127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Optimizer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Fold-9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Best / run epochs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Train loss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AdamW (used)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23 / 31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0.444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Adam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42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20 / 28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SGD (momentum 0.9)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0.786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30 / 38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1.014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RMSprop (momentum 0.9)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0.855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 / 11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0.724</w:t>
            </w:r>
          </w:p>
        </w:tc>
      </w:tr>
    </w:tbl>
    <w:p>
      <w:pPr>
        <w:pStyle w:val="BodyText"/>
      </w:pPr>
      <w:r>
        <w:t xml:space="preserve">ReLU and LeakyReLU perform identically (0.898), and they also train longest before early stopping (23</w:t>
      </w:r>
      <w:r>
        <w:t xml:space="preserve"> </w:t>
      </w:r>
      <w:r>
        <w:t xml:space="preserve">and 24 epochs to the best model), reaching the lowest training losses (0.444 and 0.423). The smooth</w:t>
      </w:r>
      <w:r>
        <w:t xml:space="preserve"> </w:t>
      </w:r>
      <w:r>
        <w:t xml:space="preserve">activations GELU (0.896) and ELU (0.895) converge faster, with their best epoch at 14, but to a</w:t>
      </w:r>
      <w:r>
        <w:t xml:space="preserve"> </w:t>
      </w:r>
      <w:r>
        <w:t xml:space="preserve">slightly lower AUROC, and the saturating tanh is the weakest (0.894). The differences are at most 0.004</w:t>
      </w:r>
      <w:r>
        <w:t xml:space="preserve"> </w:t>
      </w:r>
      <w:r>
        <w:t xml:space="preserve">AUROC, so the activation function is not a decisive design factor for this model, and the ReLU used for</w:t>
      </w:r>
      <w:r>
        <w:t xml:space="preserve"> </w:t>
      </w:r>
      <w:r>
        <w:t xml:space="preserve">all clients is among the best choices.</w:t>
      </w:r>
    </w:p>
    <w:p>
      <w:pPr>
        <w:pStyle w:val="BodyText"/>
      </w:pPr>
      <w:r>
        <w:t xml:space="preserve">The optimizer matters much more. AdamW and Adam reach the same AUROC (0.898), which shows that the</w:t>
      </w:r>
      <w:r>
        <w:t xml:space="preserve"> </w:t>
      </w:r>
      <w:r>
        <w:t xml:space="preserve">decoupled weight decay neither helped nor hurt at this data size. SGD with momentum is clearly</w:t>
      </w:r>
      <w:r>
        <w:t xml:space="preserve"> </w:t>
      </w:r>
      <w:r>
        <w:t xml:space="preserve">inferior (0.786): with the same maximum learning rate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it was still improving slowly when</w:t>
      </w:r>
      <w:r>
        <w:t xml:space="preserve"> </w:t>
      </w:r>
      <w:r>
        <w:t xml:space="preserve">it stopped after 38 epochs, with a training loss of 1.014, so it would need a much larger learning rate</w:t>
      </w:r>
      <w:r>
        <w:t xml:space="preserve"> </w:t>
      </w:r>
      <w:r>
        <w:t xml:space="preserve">or longer training. RMSprop reached its best AUROC of 0.855 already at epoch 3 and did not improve</w:t>
      </w:r>
      <w:r>
        <w:t xml:space="preserve"> </w:t>
      </w:r>
      <w:r>
        <w:t xml:space="preserve">afterwards, which indicates unstable optimisation with this learning rate and momentum. Adaptive</w:t>
      </w:r>
      <w:r>
        <w:t xml:space="preserve"> </w:t>
      </w:r>
      <w:r>
        <w:t xml:space="preserve">moment-based optimizers are therefore the appropriate choice for the clients, and the configuration</w:t>
      </w:r>
      <w:r>
        <w:t xml:space="preserve"> </w:t>
      </w:r>
      <w:r>
        <w:t xml:space="preserve">used in this work (ReLU with AdamW) is confirmed by both ablations.</w:t>
      </w:r>
    </w:p>
    <w:bookmarkEnd w:id="52"/>
    <w:bookmarkEnd w:id="53"/>
    <w:bookmarkStart w:id="66" w:name="e.-federated-learning-results-analysis"/>
    <w:p>
      <w:pPr>
        <w:pStyle w:val="Heading2"/>
      </w:pPr>
      <w:r>
        <w:t xml:space="preserve">E. Federated Learning Results Analysis</w:t>
      </w:r>
    </w:p>
    <w:bookmarkStart w:id="57" w:name="client-wise-training-accuracy-and-loss"/>
    <w:p>
      <w:pPr>
        <w:pStyle w:val="Heading3"/>
      </w:pPr>
      <w:r>
        <w:t xml:space="preserve">1) Client-wise Training Accuracy and Loss</w:t>
      </w:r>
    </w:p>
    <w:p>
      <w:pPr>
        <w:pStyle w:val="FirstParagraph"/>
      </w:pPr>
      <w:r>
        <w:t xml:space="preserve">Because the federation consists of a single round, the training dynamics of the system are those</w:t>
      </w:r>
      <w:r>
        <w:t xml:space="preserve"> </w:t>
      </w:r>
      <w:r>
        <w:t xml:space="preserve">of the four local trainings. Fig. 7 shows, for seed 42, the validation macro</w:t>
      </w:r>
      <w:r>
        <w:t xml:space="preserve"> </w:t>
      </w:r>
      <w:r>
        <w:t xml:space="preserve">AUROC (the early-stopping criterion, used here in place of accuracy because the label-wise accuracy</w:t>
      </w:r>
      <w:r>
        <w:t xml:space="preserve"> </w:t>
      </w:r>
      <w:r>
        <w:t xml:space="preserve">depends on thresholds that are fitted only after training) and the weighted training loss of every</w:t>
      </w:r>
      <w:r>
        <w:t xml:space="preserve"> </w:t>
      </w:r>
      <w:r>
        <w:t xml:space="preserve">client over its local epochs, and Table XIV summarises all three seeds.</w:t>
      </w:r>
    </w:p>
    <w:p>
      <w:pPr>
        <w:pStyle w:val="CaptionedFigure"/>
        <w:jc w:val="center"/>
      </w:pPr>
      <w:r>
        <w:drawing>
          <wp:inline>
            <wp:extent cx="5334000" cy="222393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lient_curv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7. Local training of the four clients (seed 42): (a) fold-9 macro AUROC per epoch, with the</w:t>
      </w:r>
      <w:r>
        <w:t xml:space="preserve"> </w:t>
      </w:r>
      <w:r>
        <w:t xml:space="preserve">selected epoch marked by a dot; (b) class-weighted training BCE per epoch. Each curve ends when early</w:t>
      </w:r>
      <w:r>
        <w:t xml:space="preserve"> </w:t>
      </w:r>
      <w:r>
        <w:t xml:space="preserve">stopping (patience 8) was triggered.</w:t>
      </w:r>
    </w:p>
    <w:p>
      <w:pPr>
        <w:pStyle w:val="TableCaption"/>
      </w:pPr>
      <w:r>
        <w:t xml:space="preserve">TABLE XIV. Client-wise training summary (mean over 3 seeds; loss and AUROC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at the selected epoch)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IV. Client-wise training summary (mean over 3 seeds; loss and AUROC mean \pm SD at the selected epoch)"/>
        <w:tblW w:w="5000" w:type="pct"/>
        <w:tblBorders>
          <w:top w:val="single" w:sz="12" w:color="000000"/>
          <w:bottom w:val="single" w:sz="12" w:color="000000"/>
        </w:tblBorders>
      </w:tblPr>
      <w:tblGrid>
        <w:gridCol w:w="1508"/>
        <w:gridCol w:w="798"/>
        <w:gridCol w:w="1331"/>
        <w:gridCol w:w="1331"/>
        <w:gridCol w:w="1508"/>
        <w:gridCol w:w="1508"/>
        <w:gridCol w:w="1375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oMath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Epochs run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Best epoch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Train loss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Fold-9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277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20.7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12.7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0.510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0.036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0.893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1.74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B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280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21.7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13.7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0.479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0.079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0.886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1.52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264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35.0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27.0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0.466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0.017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1.25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Client 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263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30.7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22.7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0.450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0.024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1.35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 (folds 1–8)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17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084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31.0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23.0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0.452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0.037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0.914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1.31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0.08</w:t>
            </w:r>
          </w:p>
        </w:tc>
      </w:tr>
    </w:tbl>
    <w:p>
      <w:pPr>
        <w:pStyle w:val="BodyText"/>
      </w:pPr>
      <w:r>
        <w:t xml:space="preserve">The convolutional clients converge fastest: Client A reaches its best validation AUROC after 12.7</w:t>
      </w:r>
      <w:r>
        <w:t xml:space="preserve"> </w:t>
      </w:r>
      <w:r>
        <w:t xml:space="preserve">epochs and Client B after 13.7 epochs on average, after which the validation AUROC stagnates or</w:t>
      </w:r>
      <w:r>
        <w:t xml:space="preserve"> </w:t>
      </w:r>
      <w:r>
        <w:t xml:space="preserve">decreases while the training loss keeps falling, the typical sign of over-fitting on a small local</w:t>
      </w:r>
      <w:r>
        <w:t xml:space="preserve"> </w:t>
      </w:r>
      <w:r>
        <w:t xml:space="preserve">dataset. The recurrent clients learn more slowly at the start (Client C stays below 0.80 for the</w:t>
      </w:r>
      <w:r>
        <w:t xml:space="preserve"> </w:t>
      </w:r>
      <w:r>
        <w:t xml:space="preserve">first four epochs in Fig. 7a) but keep improving for longer, with best epochs</w:t>
      </w:r>
      <w:r>
        <w:t xml:space="preserve"> </w:t>
      </w:r>
      <w:r>
        <w:t xml:space="preserve">of 27.0 (C) and 22.7 (D), and they end with the highest validation AUROCs (0.900 and 0.898). The</w:t>
      </w:r>
      <w:r>
        <w:t xml:space="preserve"> </w:t>
      </w:r>
      <w:r>
        <w:t xml:space="preserve">fitted temperatures are all larger than one (1.25–1.74 on average), i.e. every client is</w:t>
      </w:r>
      <w:r>
        <w:t xml:space="preserve"> </w:t>
      </w:r>
      <w:r>
        <w:t xml:space="preserve">over-confident after training with the class-weighted loss, and calibration is therefore needed before</w:t>
      </w:r>
      <w:r>
        <w:t xml:space="preserve"> </w:t>
      </w:r>
      <w:r>
        <w:t xml:space="preserve">probabilities from different clients can be averaged meaningfully.</w:t>
      </w:r>
    </w:p>
    <w:bookmarkEnd w:id="57"/>
    <w:bookmarkStart w:id="61" w:name="X9e938a47f610dd61899332648c1bc84d947a4c0"/>
    <w:p>
      <w:pPr>
        <w:pStyle w:val="Heading3"/>
      </w:pPr>
      <w:r>
        <w:t xml:space="preserve">2) Global Model (Server) Test Accuracy and Loss</w:t>
      </w:r>
    </w:p>
    <w:p>
      <w:pPr>
        <w:pStyle w:val="FirstParagraph"/>
      </w:pPr>
      <w:r>
        <w:t xml:space="preserve">The server performs no iterative training, so there are no communication rounds over which a server</w:t>
      </w:r>
      <w:r>
        <w:t xml:space="preserve"> </w:t>
      </w:r>
      <w:r>
        <w:t xml:space="preserve">accuracy or loss could converge. The closest analogue is the behaviour of the global model as client</w:t>
      </w:r>
      <w:r>
        <w:t xml:space="preserve"> </w:t>
      </w:r>
      <w:r>
        <w:t xml:space="preserve">contributions are added. Fig. 8 plots the macro AUROC of the equal-weight global model</w:t>
      </w:r>
      <w:r>
        <w:t xml:space="preserve"> </w:t>
      </w:r>
      <w:r>
        <w:t xml:space="preserve">against the number of aggregated clients, both on fold 9 and on the test fold. Both curves rise</w:t>
      </w:r>
      <w:r>
        <w:t xml:space="preserve"> </w:t>
      </w:r>
      <w:r>
        <w:t xml:space="preserve">monotonically and flatten after three clients: the mean over all subsets increases from 0.890 with</w:t>
      </w:r>
      <w:r>
        <w:t xml:space="preserve"> </w:t>
      </w:r>
      <w:r>
        <w:t xml:space="preserve">one client to 0.900 with two, 0.903 with three and 0.905 with four on the test fold. The gap between</w:t>
      </w:r>
      <w:r>
        <w:t xml:space="preserve"> </w:t>
      </w:r>
      <w:r>
        <w:t xml:space="preserve">the fold-9 and the test curves remains small (0.004 for the full federation), which shows that the</w:t>
      </w:r>
      <w:r>
        <w:t xml:space="preserve"> </w:t>
      </w:r>
      <w:r>
        <w:t xml:space="preserve">validation-based selection did not over-fit the gate. In terms of loss, the selected gate has a</w:t>
      </w:r>
      <w:r>
        <w:t xml:space="preserve"> </w:t>
      </w:r>
      <w:r>
        <w:t xml:space="preserve">cross-validated binary cross-entropy of 0.372 on fold 9 and a test binary cross-entropy of 0.376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0.008; the learned static (0.349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0.004) and dynamic (0.343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0.005) gates have lower</w:t>
      </w:r>
      <w:r>
        <w:t xml:space="preserve"> </w:t>
      </w:r>
      <w:r>
        <w:t xml:space="preserve">test losses, mirroring their better calibration on fold 9 (Table XI), but a lower AUROC.</w:t>
      </w:r>
    </w:p>
    <w:p>
      <w:pPr>
        <w:pStyle w:val="CaptionedFigure"/>
        <w:jc w:val="center"/>
      </w:pPr>
      <w:r>
        <w:drawing>
          <wp:inline>
            <wp:extent cx="4023360" cy="273214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server_convergenc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73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8. Macro AUROC of the global (server) model as a function of the number of aggregated clients,</w:t>
      </w:r>
      <w:r>
        <w:t xml:space="preserve"> </w:t>
      </w:r>
      <w:r>
        <w:t xml:space="preserve">averaged over all subsets of that size (solid) and for the best subset (dashed).</w:t>
      </w:r>
    </w:p>
    <w:bookmarkEnd w:id="61"/>
    <w:bookmarkStart w:id="65" w:name="Xc9abd3f48e74047c84d728988a7f39762bad41a"/>
    <w:p>
      <w:pPr>
        <w:pStyle w:val="Heading3"/>
      </w:pPr>
      <w:r>
        <w:t xml:space="preserve">3) Comparison with Other Federated Learning Frameworks</w:t>
      </w:r>
    </w:p>
    <w:p>
      <w:pPr>
        <w:pStyle w:val="FirstParagraph"/>
      </w:pPr>
      <w:r>
        <w:t xml:space="preserve">Parameter-averaging frameworks cannot combine the heterogeneous clients of CardioSentinel, so they were</w:t>
      </w:r>
      <w:r>
        <w:t xml:space="preserve"> </w:t>
      </w:r>
      <w:r>
        <w:t xml:space="preserve">evaluated with one shared architecture, the CNN-LSTM of Client D, on exactly the same four client</w:t>
      </w:r>
      <w:r>
        <w:t xml:space="preserve"> </w:t>
      </w:r>
      <w:r>
        <w:t xml:space="preserve">partitions. FedAvg</w:t>
      </w:r>
      <w:r>
        <w:t xml:space="preserve"> </w:t>
      </w:r>
      <w:r>
        <w:t xml:space="preserve">[</w:t>
      </w:r>
      <w:r>
        <w:t xml:space="preserve">14</w:t>
      </w:r>
      <w:r>
        <w:t xml:space="preserve">]</w:t>
      </w:r>
      <w:r>
        <w:t xml:space="preserve">, FedProx</w:t>
      </w:r>
      <w:r>
        <w:t xml:space="preserve"> </w:t>
      </w:r>
      <w:r>
        <w:t xml:space="preserve">[</w:t>
      </w:r>
      <w:r>
        <w:t xml:space="preserve">15</w:t>
      </w:r>
      <w:r>
        <w:t xml:space="preserve">]</w:t>
      </w:r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0.01</m:t>
        </m:r>
      </m:oMath>
      <w:r>
        <w:t xml:space="preserve">), SCAFFOLD</w:t>
      </w:r>
      <w:r>
        <w:t xml:space="preserve"> </w:t>
      </w:r>
      <w:r>
        <w:t xml:space="preserve">[</w:t>
      </w:r>
      <w:r>
        <w:t xml:space="preserve">16</w:t>
      </w:r>
      <w:r>
        <w:t xml:space="preserve">]</w:t>
      </w:r>
      <w:r>
        <w:t xml:space="preserve"> </w:t>
      </w:r>
      <w:r>
        <w:t xml:space="preserve">(control variates, option II) and FedNova</w:t>
      </w:r>
      <w:r>
        <w:t xml:space="preserve"> </w:t>
      </w:r>
      <w:r>
        <w:t xml:space="preserve">[</w:t>
      </w:r>
      <w:r>
        <w:t xml:space="preserve">43</w:t>
      </w:r>
      <w:r>
        <w:t xml:space="preserve">]</w:t>
      </w:r>
      <w:r>
        <w:t xml:space="preserve"> </w:t>
      </w:r>
      <w:r>
        <w:t xml:space="preserve">(updates normalised by the number of local steps) were run for 20 communication rounds of one local</w:t>
      </w:r>
      <w:r>
        <w:t xml:space="preserve"> </w:t>
      </w:r>
      <w:r>
        <w:t xml:space="preserve">epoch each, with the client recipe of Section IV-B (AdamW,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batch</w:t>
      </w:r>
      <w:r>
        <w:t xml:space="preserve"> </w:t>
      </w:r>
      <w:r>
        <w:t xml:space="preserve">128, class-weighted loss, augmentation, gradient clipping) and aggregation weights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 The round</w:t>
      </w:r>
      <w:r>
        <w:t xml:space="preserve"> </w:t>
      </w:r>
      <w:r>
        <w:t xml:space="preserve">with the best fold-9 macro AUROC was kept, calibrated and thresholded on fold 9, and evaluated once on</w:t>
      </w:r>
      <w:r>
        <w:t xml:space="preserve"> </w:t>
      </w:r>
      <w:r>
        <w:t xml:space="preserve">the test fold. Because of the computational cost these runs use seed 42 only, so</w:t>
      </w:r>
      <w:r>
        <w:t xml:space="preserve"> </w:t>
      </w:r>
      <w:r>
        <w:t xml:space="preserve">Table XV reports seed-42 values for every row, and Fig. 9 shows the</w:t>
      </w:r>
      <w:r>
        <w:t xml:space="preserve"> </w:t>
      </w:r>
      <w:r>
        <w:t xml:space="preserve">convergence.</w:t>
      </w:r>
    </w:p>
    <w:p>
      <w:pPr>
        <w:pStyle w:val="TableCaption"/>
      </w:pPr>
      <w:r>
        <w:t xml:space="preserve">TABLE XV. Comparison with federated-learning frameworks on the same four client partitions (seed 42;</w:t>
      </w:r>
      <w:r>
        <w:t xml:space="preserve"> </w:t>
      </w:r>
      <w:r>
        <w:t xml:space="preserve">test fold unless stated).</w:t>
      </w:r>
      <w:r>
        <w:t xml:space="preserve"> </w:t>
      </w:r>
      <w:r>
        <w:rPr>
          <w:vertAlign w:val="superscript"/>
        </w:rPr>
        <w:t xml:space="preserve">a</w:t>
      </w:r>
      <w:r>
        <w:t xml:space="preserve">Patient-grouped CV on fold 9.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V. Comparison with federated-learning frameworks on the same four client partitions (seed 42; test fold unless stated). aPatient-grouped CV on fold 9."/>
        <w:tblW w:w="5000" w:type="pct"/>
        <w:tblBorders>
          <w:top w:val="single" w:sz="12" w:color="000000"/>
          <w:bottom w:val="single" w:sz="12" w:color="000000"/>
        </w:tblBorders>
      </w:tblPr>
      <w:tblGrid>
        <w:gridCol w:w="1693"/>
        <w:gridCol w:w="896"/>
        <w:gridCol w:w="1494"/>
        <w:gridCol w:w="1693"/>
        <w:gridCol w:w="1494"/>
        <w:gridCol w:w="896"/>
        <w:gridCol w:w="1195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Method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Rounds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Same arch.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Fold-9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Test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F1 (%)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Acc. (%)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Local only (best client, D)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68.9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85.0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FedAvg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14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20/20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71.8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87.2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FedProx (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rPr>
                <w:sz w:val="18"/>
              </w:rPr>
              <w:t xml:space="preserve">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15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20/20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71.4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SCAFFOLD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16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1/20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0.850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0.842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62.4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80.6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FedNova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43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20/20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71.5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bCs/>
                <w:sz w:val="18"/>
              </w:rPr>
              <w:t xml:space="preserve">Proposed (one-shot gate)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0.908</w:t>
            </w:r>
            <w:r>
              <w:rPr>
                <w:sz w:val="18"/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70.9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Centralised (pooled data)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69.6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85.5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5334000" cy="226564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l_convergenc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5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9. Convergence of the parameter-averaging frameworks (shared CNN-LSTM, seed 42): (a) training</w:t>
      </w:r>
      <w:r>
        <w:t xml:space="preserve"> </w:t>
      </w:r>
      <w:r>
        <w:t xml:space="preserve">loss averaged over clients; (b) fold-9 macro AUROC of the global model, with the local-only Client D</w:t>
      </w:r>
      <w:r>
        <w:t xml:space="preserve"> </w:t>
      </w:r>
      <w:r>
        <w:t xml:space="preserve">and the centrally trained CNN-LSTM as references.</w:t>
      </w:r>
    </w:p>
    <w:p>
      <w:pPr>
        <w:pStyle w:val="BodyText"/>
      </w:pPr>
      <w:r>
        <w:rPr>
          <w:i/>
          <w:iCs/>
        </w:rPr>
        <w:t xml:space="preserve">Accuracy.</w:t>
      </w:r>
      <w:r>
        <w:t xml:space="preserve"> </w:t>
      </w:r>
      <w:r>
        <w:t xml:space="preserve">FedAvg and FedNova reach a test macro AUROC of 0.907 and FedProx 0.906, slightly</w:t>
      </w:r>
      <w:r>
        <w:t xml:space="preserve"> </w:t>
      </w:r>
      <w:r>
        <w:t xml:space="preserve">above the proposed one-shot gate (0.905) and close to centralised training (0.909). They also achieve a</w:t>
      </w:r>
      <w:r>
        <w:t xml:space="preserve"> </w:t>
      </w:r>
      <w:r>
        <w:t xml:space="preserve">higher macro F1 (71.4%–71.8% versus 70.9%). With identical clients and many communication rounds,</w:t>
      </w:r>
      <w:r>
        <w:t xml:space="preserve"> </w:t>
      </w:r>
      <w:r>
        <w:t xml:space="preserve">parameter averaging thus remains marginally more accurate than prediction-level aggregation; the</w:t>
      </w:r>
      <w:r>
        <w:t xml:space="preserve"> </w:t>
      </w:r>
      <w:r>
        <w:t xml:space="preserve">difference to the proposed model (0.002 AUROC) is, however, smaller than the gain of either approach</w:t>
      </w:r>
      <w:r>
        <w:t xml:space="preserve"> </w:t>
      </w:r>
      <w:r>
        <w:t xml:space="preserve">over local training (0.895 for Client D in this seed). SCAFFOLD failed in this configuration: its best</w:t>
      </w:r>
      <w:r>
        <w:t xml:space="preserve"> </w:t>
      </w:r>
      <w:r>
        <w:t xml:space="preserve">global model was the one after the first round (test AUROC 0.842), and its training loss oscillated</w:t>
      </w:r>
      <w:r>
        <w:t xml:space="preserve"> </w:t>
      </w:r>
      <w:r>
        <w:t xml:space="preserve">between about 0.8 and 2.0 in subsequent rounds. The control-variate correction assumes plain SGD</w:t>
      </w:r>
      <w:r>
        <w:t xml:space="preserve"> </w:t>
      </w:r>
      <w:r>
        <w:t xml:space="preserve">local steps of size</w:t>
      </w:r>
      <w:r>
        <w:t xml:space="preserve"> </w:t>
      </w:r>
      <m:oMath>
        <m:r>
          <m:t>η</m:t>
        </m:r>
      </m:oMath>
      <w:r>
        <w:t xml:space="preserve">, and combined with the adaptive AdamW updates used here it over-corrects</w:t>
      </w:r>
      <w:r>
        <w:t xml:space="preserve"> </w:t>
      </w:r>
      <w:r>
        <w:t xml:space="preserve">the client drift; with SGD local training it may behave differently.</w:t>
      </w:r>
    </w:p>
    <w:p>
      <w:pPr>
        <w:pStyle w:val="BodyText"/>
      </w:pPr>
      <w:r>
        <w:rPr>
          <w:i/>
          <w:iCs/>
        </w:rPr>
        <w:t xml:space="preserve">Stability and convergence speed.</w:t>
      </w:r>
      <w:r>
        <w:t xml:space="preserve"> </w:t>
      </w:r>
      <w:r>
        <w:t xml:space="preserve">FedAvg, FedProx and FedNova converge smoothly and almost</w:t>
      </w:r>
      <w:r>
        <w:t xml:space="preserve"> </w:t>
      </w:r>
      <w:r>
        <w:t xml:space="preserve">identically (Fig. 9): they pass the local-only reference of 0.898 on fold 9 at round 8, exceed 0.90 at round 10 and are still improving slightly at round 20, so more rounds could add</w:t>
      </w:r>
      <w:r>
        <w:t xml:space="preserve"> </w:t>
      </w:r>
      <w:r>
        <w:t xml:space="preserve">a little more. FedNova coincides with FedAvg because all four clients perform the same number of local</w:t>
      </w:r>
      <w:r>
        <w:t xml:space="preserve"> </w:t>
      </w:r>
      <w:r>
        <w:t xml:space="preserve">steps (33 per epoch), in which case its normalisation has no effect; the proximal term of FedProx is</w:t>
      </w:r>
      <w:r>
        <w:t xml:space="preserve"> </w:t>
      </w:r>
      <w:r>
        <w:t xml:space="preserve">unnecessary when the label distributions of the clients are as similar as here. The cost of this</w:t>
      </w:r>
      <w:r>
        <w:t xml:space="preserve"> </w:t>
      </w:r>
      <w:r>
        <w:t xml:space="preserve">accuracy is communication and coordination: 20 synchronised rounds, each exchanging the full set of</w:t>
      </w:r>
      <w:r>
        <w:t xml:space="preserve"> </w:t>
      </w:r>
      <w:r>
        <w:t xml:space="preserve">0.47M parameters with every client, and the requirement that all institutions train the same network.</w:t>
      </w:r>
      <w:r>
        <w:t xml:space="preserve"> </w:t>
      </w:r>
      <w:r>
        <w:t xml:space="preserve">The proposed model needs a single round, exchanges only five probabilities per client and query, and</w:t>
      </w:r>
      <w:r>
        <w:t xml:space="preserve"> </w:t>
      </w:r>
      <w:r>
        <w:t xml:space="preserve">lets every institution keep its own architecture, at a cost of about 0.002 AUROC in this setting.</w:t>
      </w:r>
    </w:p>
    <w:bookmarkEnd w:id="65"/>
    <w:bookmarkEnd w:id="66"/>
    <w:bookmarkStart w:id="78" w:name="f.-class-wise-analysis"/>
    <w:p>
      <w:pPr>
        <w:pStyle w:val="Heading2"/>
      </w:pPr>
      <w:r>
        <w:t xml:space="preserve">F. Class-wise Analysis</w:t>
      </w:r>
    </w:p>
    <w:bookmarkStart w:id="73" w:name="confusion-matrix"/>
    <w:p>
      <w:pPr>
        <w:pStyle w:val="Heading3"/>
      </w:pPr>
      <w:r>
        <w:t xml:space="preserve">1) Confusion Matrix</w:t>
      </w:r>
    </w:p>
    <w:p>
      <w:pPr>
        <w:pStyle w:val="FirstParagraph"/>
      </w:pPr>
      <w:r>
        <w:t xml:space="preserve">Fig. 10 shows the per-class confusion matrices of the proposed model on the 2,158</w:t>
      </w:r>
      <w:r>
        <w:t xml:space="preserve"> </w:t>
      </w:r>
      <w:r>
        <w:t xml:space="preserve">test records for seed 42, at the thresholds chosen on fold 9 (0.42 for NORM, 0.62 for MI and STTC</w:t>
      </w:r>
      <w:r>
        <w:t xml:space="preserve"> </w:t>
      </w:r>
      <w:r>
        <w:t xml:space="preserve">and 0.64 for CD and HYP), and Fig. 11 the corresponding ROC curves. Because the task is</w:t>
      </w:r>
      <w:r>
        <w:t xml:space="preserve"> </w:t>
      </w:r>
      <w:r>
        <w:t xml:space="preserve">multi-label, each superclass has its own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p>
      <w:pPr>
        <w:pStyle w:val="CaptionedFigure"/>
        <w:jc w:val="center"/>
      </w:pPr>
      <w:r>
        <w:drawing>
          <wp:inline>
            <wp:extent cx="5334000" cy="1130141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onfusion_combined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10. Per-class confusion matrices of the proposed model on the test fold (seed 42); counts and</w:t>
      </w:r>
      <w:r>
        <w:t xml:space="preserve"> </w:t>
      </w:r>
      <w:r>
        <w:t xml:space="preserve">row-normalised rates (TP% = recall, TN% = specificity).</w:t>
      </w:r>
    </w:p>
    <w:p>
      <w:pPr>
        <w:pStyle w:val="CaptionedFigure"/>
        <w:jc w:val="center"/>
      </w:pPr>
      <w:r>
        <w:drawing>
          <wp:inline>
            <wp:extent cx="4023360" cy="3487233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roc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487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11. ROC curves of the proposed model on the test fold for the five superclasses (seed 42).</w:t>
      </w:r>
    </w:p>
    <w:p>
      <w:pPr>
        <w:pStyle w:val="BodyText"/>
      </w:pPr>
      <w:r>
        <w:t xml:space="preserve">NORM is detected most reliably: 887 of its 963 positives are found (recall 0.92), at the cost of 236</w:t>
      </w:r>
      <w:r>
        <w:t xml:space="preserve"> </w:t>
      </w:r>
      <w:r>
        <w:t xml:space="preserve">false positives, which reflects the low NORM threshold that favours sensitivity. For STTC and MI the</w:t>
      </w:r>
      <w:r>
        <w:t xml:space="preserve"> </w:t>
      </w:r>
      <w:r>
        <w:t xml:space="preserve">model identifies 420 of 521 and 437 of 550 positives, with 159 and 200 false positives respectively.</w:t>
      </w:r>
      <w:r>
        <w:t xml:space="preserve"> </w:t>
      </w:r>
      <w:r>
        <w:t xml:space="preserve">CD is predicted conservatively: only 58 false positives occur, but 177 of the 496 positives are</w:t>
      </w:r>
      <w:r>
        <w:t xml:space="preserve"> </w:t>
      </w:r>
      <w:r>
        <w:t xml:space="preserve">missed. HYP is the most difficult class, with 129 true positives, 133 false negatives and 168 false</w:t>
      </w:r>
      <w:r>
        <w:t xml:space="preserve"> </w:t>
      </w:r>
      <w:r>
        <w:t xml:space="preserve">positives; hypertrophy criteria rely on voltage amplitudes, which the per-recording z-scoring</w:t>
      </w:r>
      <w:r>
        <w:t xml:space="preserve"> </w:t>
      </w:r>
      <w:r>
        <w:t xml:space="preserve">partly removes, and HYP frequently co-occurs with STTC and CD, so its ECG changes overlap with those</w:t>
      </w:r>
      <w:r>
        <w:t xml:space="preserve"> </w:t>
      </w:r>
      <w:r>
        <w:t xml:space="preserve">of other classes. The ROC curves confirm this ranking, with the HYP curve clearly below the others.</w:t>
      </w:r>
    </w:p>
    <w:p>
      <w:pPr>
        <w:pStyle w:val="BodyText"/>
      </w:pPr>
      <w:r>
        <w:t xml:space="preserve">Compared with the four clients, each at its own fold-9 thresholds (seed 42), for MI the</w:t>
      </w:r>
      <w:r>
        <w:t xml:space="preserve"> </w:t>
      </w:r>
      <w:r>
        <w:t xml:space="preserve">gate both finds the most positives (437 against 408–431) and raises the fewest false alarms (200</w:t>
      </w:r>
      <w:r>
        <w:t xml:space="preserve"> </w:t>
      </w:r>
      <w:r>
        <w:t xml:space="preserve">against 226–258). For CD it trades recall for precision: the clients find 314–355 positives with</w:t>
      </w:r>
      <w:r>
        <w:t xml:space="preserve"> </w:t>
      </w:r>
      <w:r>
        <w:t xml:space="preserve">110–163 false positives, the gate 319 with only 58. The gain of the combination is therefore mainly</w:t>
      </w:r>
      <w:r>
        <w:t xml:space="preserve"> </w:t>
      </w:r>
      <w:r>
        <w:t xml:space="preserve">in precision, in line with Table VI, where the macro precision rises from at most 67.0%</w:t>
      </w:r>
      <w:r>
        <w:t xml:space="preserve"> </w:t>
      </w:r>
      <w:r>
        <w:t xml:space="preserve">to 69.8% while the recall stays at the level of the clients.</w:t>
      </w:r>
    </w:p>
    <w:bookmarkEnd w:id="73"/>
    <w:bookmarkStart w:id="77" w:name="class-wise-performance-table"/>
    <w:p>
      <w:pPr>
        <w:pStyle w:val="Heading3"/>
      </w:pPr>
      <w:r>
        <w:t xml:space="preserve">2) Class-wise Performance Table</w:t>
      </w:r>
    </w:p>
    <w:p>
      <w:pPr>
        <w:pStyle w:val="FirstParagraph"/>
      </w:pPr>
      <w:r>
        <w:t xml:space="preserve">Table XVI reports precision, recall, F1-score and AUROC per superclass, averaged over</w:t>
      </w:r>
      <w:r>
        <w:t xml:space="preserve"> </w:t>
      </w:r>
      <w:r>
        <w:t xml:space="preserve">the three seeds, together with the macro and support-weighted averages.</w:t>
      </w:r>
    </w:p>
    <w:p>
      <w:pPr>
        <w:pStyle w:val="TableCaption"/>
      </w:pPr>
      <w:r>
        <w:t xml:space="preserve">TABLE XVI. Class-wise performance of the proposed model on the test fold (mean of 3 seeds)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VI. Class-wise performance of the proposed model on the test fold (mean of 3 seeds)"/>
        <w:tblW w:w="5000" w:type="pct"/>
        <w:tblBorders>
          <w:top w:val="single" w:sz="12" w:color="000000"/>
          <w:bottom w:val="single" w:sz="12" w:color="000000"/>
        </w:tblBorders>
      </w:tblPr>
      <w:tblGrid>
        <w:gridCol w:w="2289"/>
        <w:gridCol w:w="1818"/>
        <w:gridCol w:w="1212"/>
        <w:gridCol w:w="1616"/>
        <w:gridCol w:w="1010"/>
        <w:gridCol w:w="141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Class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Precision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Recall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F1-score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Support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NORM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0.782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0.930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0.850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0.938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963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MI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0.724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0.730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0.725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STTC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0.745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0.792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0.768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521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0.800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0.735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496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HYP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0.439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0.490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0.461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0.828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262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Macro avg.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0.698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0.725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0.707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2792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Weighted avg.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0.735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0.780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0.753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0.917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2792</w:t>
            </w:r>
          </w:p>
        </w:tc>
      </w:tr>
    </w:tbl>
    <w:p>
      <w:pPr>
        <w:pStyle w:val="BodyText"/>
      </w:pPr>
      <w:r>
        <w:t xml:space="preserve">NORM (F1 0.850) and STTC (0.768) are the best-recognised superclasses, followed by CD (0.735) and MI</w:t>
      </w:r>
      <w:r>
        <w:t xml:space="preserve"> </w:t>
      </w:r>
      <w:r>
        <w:t xml:space="preserve">(0.725). HYP remains clearly weaker (F1 0.461, AUROC 0.828), and because it is also the rarest class</w:t>
      </w:r>
      <w:r>
        <w:t xml:space="preserve"> </w:t>
      </w:r>
      <w:r>
        <w:t xml:space="preserve">it pulls the macro F1 (0.707) below the support-weighted F1 (0.753). The AUROC of every class except</w:t>
      </w:r>
      <w:r>
        <w:t xml:space="preserve"> </w:t>
      </w:r>
      <w:r>
        <w:t xml:space="preserve">HYP exceeds 0.91, so the ranking quality is high and the lower F1 values of MI and CD are largely a</w:t>
      </w:r>
      <w:r>
        <w:t xml:space="preserve"> </w:t>
      </w:r>
      <w:r>
        <w:t xml:space="preserve">matter of operating point.</w:t>
      </w:r>
    </w:p>
    <w:p>
      <w:pPr>
        <w:pStyle w:val="BodyText"/>
      </w:pPr>
      <w:r>
        <w:t xml:space="preserve">Fig. 12 gives the confusion matrices averaged over the three seeds. Summed over</w:t>
      </w:r>
      <w:r>
        <w:t xml:space="preserve"> </w:t>
      </w:r>
      <w:r>
        <w:t xml:space="preserve">the five classes, the model makes 2,177 true-positive and 7,198 true-negative decisions out of 10,790</w:t>
      </w:r>
      <w:r>
        <w:t xml:space="preserve"> </w:t>
      </w:r>
      <w:r>
        <w:t xml:space="preserve">(2,158 ECGs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classes), a label-wise accuracy of 0.869 with a micro-averaged precision of</w:t>
      </w:r>
      <w:r>
        <w:t xml:space="preserve"> </w:t>
      </w:r>
      <w:r>
        <w:t xml:space="preserve">0.731 and recall of 0.780; the 615 false negatives are dominated by HYP (134), CD (158) and MI (148).</w:t>
      </w:r>
    </w:p>
    <w:p>
      <w:pPr>
        <w:pStyle w:val="CaptionedFigure"/>
        <w:jc w:val="center"/>
      </w:pPr>
      <w:r>
        <w:drawing>
          <wp:inline>
            <wp:extent cx="5334000" cy="30937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onfusion_mean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12. Per-class confusion matrices of the proposed model on the test fold (fold 10, 2,158 ECGs), mean</w:t>
      </w:r>
      <w:r>
        <w:t xml:space="preserve"> </w:t>
      </w:r>
      <w:r>
        <w:t xml:space="preserve">counts over seeds 42, 43 and 44; percentages are of the true row. The last panel sums the five classes</w:t>
      </w:r>
      <w:r>
        <w:t xml:space="preserve"> </w:t>
      </w:r>
      <w:r>
        <w:t xml:space="preserve">(2,158 ECGs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decisions = 10,790).</w:t>
      </w:r>
    </w:p>
    <w:p>
      <w:pPr>
        <w:pStyle w:val="BodyText"/>
      </w:pPr>
      <w:r>
        <w:rPr>
          <w:i/>
          <w:iCs/>
        </w:rPr>
        <w:t xml:space="preserve">Per-finding triage.</w:t>
      </w:r>
      <w:r>
        <w:t xml:space="preserve"> </w:t>
      </w:r>
      <w:r>
        <w:t xml:space="preserve">When the clinical requirement is a precision and recall of at least 0.90,</w:t>
      </w:r>
      <w:r>
        <w:t xml:space="preserve"> </w:t>
      </w:r>
      <w:r>
        <w:t xml:space="preserve">no global threshold can satisfy it for all classes. Applying the rule-in/rule-out bands fitted on</w:t>
      </w:r>
      <w:r>
        <w:t xml:space="preserve"> </w:t>
      </w:r>
      <w:r>
        <w:t xml:space="preserve">fold 9 (Section III-D) to the test fold, 53.7% of all findings are decided automatically,</w:t>
      </w:r>
      <w:r>
        <w:t xml:space="preserve"> </w:t>
      </w:r>
      <w:r>
        <w:t xml:space="preserve">with a macro precision of 0.937, a macro recall of 0.908 over the automated classes and an accuracy of</w:t>
      </w:r>
      <w:r>
        <w:t xml:space="preserve"> </w:t>
      </w:r>
      <w:r>
        <w:t xml:space="preserve">0.967; 17.8% of the ECGs are decided completely without referral. NORM, MI and CD were automated in</w:t>
      </w:r>
      <w:r>
        <w:t xml:space="preserve"> </w:t>
      </w:r>
      <w:r>
        <w:t xml:space="preserve">all seeds, STTC in one of three seeds, and HYP only in rule-out mode, so every possible HYP finding is</w:t>
      </w:r>
      <w:r>
        <w:t xml:space="preserve"> </w:t>
      </w:r>
      <w:r>
        <w:t xml:space="preserve">referred. Not every target was met: the test recall of CD was 0.880.</w:t>
      </w:r>
    </w:p>
    <w:bookmarkEnd w:id="77"/>
    <w:bookmarkEnd w:id="78"/>
    <w:bookmarkStart w:id="85" w:name="g.-explainable-results"/>
    <w:p>
      <w:pPr>
        <w:pStyle w:val="Heading2"/>
      </w:pPr>
      <w:r>
        <w:t xml:space="preserve">G. Explainable Results</w:t>
      </w:r>
    </w:p>
    <w:p>
      <w:pPr>
        <w:pStyle w:val="FirstParagraph"/>
      </w:pPr>
      <w:r>
        <w:t xml:space="preserve">The explanations were computed for the selected equal-weight gate of seed 42 on 300 randomly drawn</w:t>
      </w:r>
      <w:r>
        <w:t xml:space="preserve"> </w:t>
      </w:r>
      <w:r>
        <w:t xml:space="preserve">validation (fold-9) records, which contain 131 NORM, 81 MI, 65 STTC, 80 CD and 31 HYP positives;</w:t>
      </w:r>
      <w:r>
        <w:t xml:space="preserve"> </w:t>
      </w:r>
      <w:r>
        <w:t xml:space="preserve">the test fold was not used. Fig. 13 shows the global lead importance, i.e. the share</w:t>
      </w:r>
      <w:r>
        <w:t xml:space="preserve"> </w:t>
      </w:r>
      <w:r>
        <w:t xml:space="preserve">of the absolute Integrated-Gradients attribution falling on each lead, averaged over the positive</w:t>
      </w:r>
      <w:r>
        <w:t xml:space="preserve"> </w:t>
      </w:r>
      <w:r>
        <w:t xml:space="preserve">records of each class. Under a uniform distribution every lead would receive 8.3%.</w:t>
      </w:r>
    </w:p>
    <w:p>
      <w:pPr>
        <w:pStyle w:val="CaptionedFigure"/>
        <w:jc w:val="center"/>
      </w:pPr>
      <w:r>
        <w:drawing>
          <wp:inline>
            <wp:extent cx="4023360" cy="221107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xai_lead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211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13. Global explanation: share of the absolute Integrated-Gradients attribution per lead (%)</w:t>
      </w:r>
      <w:r>
        <w:t xml:space="preserve"> </w:t>
      </w:r>
      <w:r>
        <w:t xml:space="preserve">for the positive validation records of each superclass (seed 42, equal-weight gate).</w:t>
      </w:r>
    </w:p>
    <w:p>
      <w:pPr>
        <w:pStyle w:val="BodyText"/>
      </w:pPr>
      <w:r>
        <w:t xml:space="preserve">The attributions are spread over all twelve leads (no lead receives more than 11.0%), which is</w:t>
      </w:r>
      <w:r>
        <w:t xml:space="preserve"> </w:t>
      </w:r>
      <w:r>
        <w:t xml:space="preserve">consistent with the redundancy of the leads shown in Fig. 2 and with training under</w:t>
      </w:r>
      <w:r>
        <w:t xml:space="preserve"> </w:t>
      </w:r>
      <w:r>
        <w:t xml:space="preserve">lead dropout. Within this spread the emphasis follows the expected anatomy. For MI the largest shares</w:t>
      </w:r>
      <w:r>
        <w:t xml:space="preserve"> </w:t>
      </w:r>
      <w:r>
        <w:t xml:space="preserve">fall on aVF (10.3%), V2 (10.1%), II (9.8%) and V3 (9.7%), i.e. on the inferior and anteroseptal</w:t>
      </w:r>
      <w:r>
        <w:t xml:space="preserve"> </w:t>
      </w:r>
      <w:r>
        <w:t xml:space="preserve">leads that record the most frequent infarct locations. For HYP the largest shares fall on V6</w:t>
      </w:r>
      <w:r>
        <w:t xml:space="preserve"> </w:t>
      </w:r>
      <w:r>
        <w:t xml:space="preserve">(10.3%), V5 and aVR (9.6% each) and V1 (8.6%), the leads used by the classical voltage criteria</w:t>
      </w:r>
      <w:r>
        <w:t xml:space="preserve"> </w:t>
      </w:r>
      <w:r>
        <w:t xml:space="preserve">for left ventricular hypertrophy, which combine the S wave in V1 with the R wave in V5 or V6. For CD</w:t>
      </w:r>
      <w:r>
        <w:t xml:space="preserve"> </w:t>
      </w:r>
      <w:r>
        <w:t xml:space="preserve">the model relies most on II (11.0%), aVR (9.9%), V6 (9.8%) and V1 (9.4%); V1 and V6 are the leads</w:t>
      </w:r>
      <w:r>
        <w:t xml:space="preserve"> </w:t>
      </w:r>
      <w:r>
        <w:t xml:space="preserve">in which right and left bundle branch blocks are recognised. STTC is attributed mainly to the</w:t>
      </w:r>
      <w:r>
        <w:t xml:space="preserve"> </w:t>
      </w:r>
      <w:r>
        <w:t xml:space="preserve">lateral and inferior leads V6 (10.3%), aVR (9.8%) and aVF (9.7%). In every class, leads III and aVL</w:t>
      </w:r>
      <w:r>
        <w:t xml:space="preserve"> </w:t>
      </w:r>
      <w:r>
        <w:t xml:space="preserve">are among the four least-attributed leads (6.2%–7.2%); both are linear combinations of I and II,</w:t>
      </w:r>
      <w:r>
        <w:t xml:space="preserve"> </w:t>
      </w:r>
      <w:r>
        <w:t xml:space="preserve">so they add little independent information.</w:t>
      </w:r>
    </w:p>
    <w:p>
      <w:pPr>
        <w:pStyle w:val="BodyText"/>
      </w:pPr>
      <w:r>
        <w:rPr>
          <w:i/>
          <w:iCs/>
        </w:rPr>
        <w:t xml:space="preserve">Local explanations.</w:t>
      </w:r>
      <w:r>
        <w:t xml:space="preserve"> </w:t>
      </w:r>
      <w:r>
        <w:t xml:space="preserve">Fig. 14 shows the two validation records predicted with</w:t>
      </w:r>
      <w:r>
        <w:t xml:space="preserve"> </w:t>
      </w:r>
      <w:r>
        <w:t xml:space="preserve">the highest confidence for MI and for STTC, with the three leads that carry the largest attribution</w:t>
      </w:r>
      <w:r>
        <w:t xml:space="preserve"> </w:t>
      </w:r>
      <w:r>
        <w:t xml:space="preserve">and the attribution magnitude along time. Record 5927 (label MI) is classified as MI with probability</w:t>
      </w:r>
      <w:r>
        <w:t xml:space="preserve"> </w:t>
      </w:r>
      <w:r>
        <w:t xml:space="preserve">0.99, and its attribution concentrates on V2, V3 and V4. These leads show deep, predominantly negative</w:t>
      </w:r>
      <w:r>
        <w:t xml:space="preserve"> </w:t>
      </w:r>
      <w:r>
        <w:t xml:space="preserve">QRS complexes, the pattern of an anterior infarction, and the attribution peaks at each QRS complex</w:t>
      </w:r>
      <w:r>
        <w:t xml:space="preserve"> </w:t>
      </w:r>
      <w:r>
        <w:t xml:space="preserve">rather than in the baseline between beats. Record 14758 (labels STTC and HYP) receives P(STTC) = 0.98</w:t>
      </w:r>
      <w:r>
        <w:t xml:space="preserve"> </w:t>
      </w:r>
      <w:r>
        <w:t xml:space="preserve">and P(HYP) = 0.85, so both of its labels are recovered; for STTC the attribution falls on V2, V1 and</w:t>
      </w:r>
      <w:r>
        <w:t xml:space="preserve"> </w:t>
      </w:r>
      <w:r>
        <w:t xml:space="preserve">aVF and again peaks at the QRS complexes and the adjoining ST segments of the beats. In both cases the</w:t>
      </w:r>
      <w:r>
        <w:t xml:space="preserve"> </w:t>
      </w:r>
      <w:r>
        <w:t xml:space="preserve">attribution is locked to the beats and falls on the waveform segments a cardiologist would inspect,</w:t>
      </w:r>
      <w:r>
        <w:t xml:space="preserve"> </w:t>
      </w:r>
      <w:r>
        <w:t xml:space="preserve">not on the baseline between beats; two examples cannot, however, establish this for all records.</w:t>
      </w:r>
    </w:p>
    <w:p>
      <w:pPr>
        <w:pStyle w:val="CaptionedFigure"/>
        <w:jc w:val="center"/>
      </w:pPr>
      <w:r>
        <w:drawing>
          <wp:inline>
            <wp:extent cx="5334000" cy="3314403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xai_local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14. Local explanations for the most confident true-positive (a) MI and (b) STTC validation</w:t>
      </w:r>
      <w:r>
        <w:t xml:space="preserve"> </w:t>
      </w:r>
      <w:r>
        <w:t xml:space="preserve">records. For each record the three leads with the largest total attribution are shown; the colour</w:t>
      </w:r>
      <w:r>
        <w:t xml:space="preserve"> </w:t>
      </w:r>
      <w:r>
        <w:t xml:space="preserve">strip below each trace encodes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|</m:t>
        </m:r>
      </m:oMath>
      <w:r>
        <w:t xml:space="preserve"> </w:t>
      </w:r>
      <w:r>
        <w:t xml:space="preserve">over time (darker = larger), smoothed over 90 ms.</w:t>
      </w:r>
    </w:p>
    <w:p>
      <w:pPr>
        <w:pStyle w:val="BodyText"/>
      </w:pPr>
      <w:r>
        <w:rPr>
          <w:i/>
          <w:iCs/>
        </w:rPr>
        <w:t xml:space="preserve">Faithfulness.</w:t>
      </w:r>
      <w:r>
        <w:t xml:space="preserve"> </w:t>
      </w:r>
      <w:r>
        <w:t xml:space="preserve">Table XVII reports the deletion test. For NORM, MI and CD,</w:t>
      </w:r>
      <w:r>
        <w:t xml:space="preserve"> </w:t>
      </w:r>
      <w:r>
        <w:t xml:space="preserve">removing the lead with the largest attribution lowers the mean predicted probability more than</w:t>
      </w:r>
      <w:r>
        <w:t xml:space="preserve"> </w:t>
      </w:r>
      <w:r>
        <w:t xml:space="preserve">removing a random lead (NORM: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0.028 versus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0.019; MI: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0.030 versus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0.006; CD: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0.043</w:t>
      </w:r>
      <w:r>
        <w:t xml:space="preserve"> </w:t>
      </w:r>
      <w:r>
        <w:t xml:space="preserve">versus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0.012), and removing the three most important leads lowers it substantially more than</w:t>
      </w:r>
      <w:r>
        <w:t xml:space="preserve"> </w:t>
      </w:r>
      <w:r>
        <w:t xml:space="preserve">removing three random leads (NORM: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0.135 versus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0.074; MI: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0.057 versus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0.006; CD: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0.070 versus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0.009). For these classes the attributions therefore identify leads on which the</w:t>
      </w:r>
      <w:r>
        <w:t xml:space="preserve"> </w:t>
      </w:r>
      <w:r>
        <w:t xml:space="preserve">prediction actually depends. For STTC and HYP, in contrast, neither targeted nor random deletion</w:t>
      </w:r>
      <w:r>
        <w:t xml:space="preserve"> </w:t>
      </w:r>
      <w:r>
        <w:t xml:space="preserve">changes the probability appreciably (STTC: 0.764 intact, 0.765–0.772 after deletion; HYP: 0.620</w:t>
      </w:r>
      <w:r>
        <w:t xml:space="preserve"> </w:t>
      </w:r>
      <w:r>
        <w:t xml:space="preserve">intact, 0.613–0.627 after deletion). The evidence for these two classes is distributed redundantly</w:t>
      </w:r>
      <w:r>
        <w:t xml:space="preserve"> </w:t>
      </w:r>
      <w:r>
        <w:t xml:space="preserve">over many leads, so lead-level attributions should not be read as identifying a single decisive lead.</w:t>
      </w:r>
    </w:p>
    <w:p>
      <w:pPr>
        <w:pStyle w:val="TableCaption"/>
      </w:pPr>
      <w:r>
        <w:t xml:space="preserve">TABLE XVII. Deletion test: mean gate probability of the true class after zeroing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leads with the</w:t>
      </w:r>
      <w:r>
        <w:t xml:space="preserve"> </w:t>
      </w:r>
      <w:r>
        <w:t xml:space="preserve">largest IG attribution 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random leads (fold-9 positives, seed 42)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VII. Deletion test: mean gate probability of the true class after zeroing the k leads with the largest IG attribution or k random leads (fold-9 positives, seed 42)"/>
        <w:tblW w:w="5000" w:type="pct"/>
        <w:tblBorders>
          <w:top w:val="single" w:sz="12" w:color="000000"/>
          <w:bottom w:val="single" w:sz="12" w:color="000000"/>
        </w:tblBorders>
      </w:tblPr>
      <w:tblGrid>
        <w:gridCol w:w="2323"/>
        <w:gridCol w:w="615"/>
        <w:gridCol w:w="2323"/>
        <w:gridCol w:w="1025"/>
        <w:gridCol w:w="1025"/>
        <w:gridCol w:w="1025"/>
        <w:gridCol w:w="1025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</w:pP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</w:pP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</w:pPr>
          </w:p>
        </w:tc>
        <w:tc>
          <w:tcPr>
            <w:gridSpan w:val="2"/>
            <w:tcBorders>
              <w:bottom w:val="single" w:sz="6" w:color="000000"/>
            </w:tcBorders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Top-</w:t>
            </w:r>
            <m:oMath>
              <m:r>
                <m:t>k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IG leads removed</w:t>
            </w:r>
          </w:p>
        </w:tc>
        <w:tc>
          <w:tcPr>
            <w:gridSpan w:val="2"/>
            <w:tcBorders>
              <w:bottom w:val="single" w:sz="6" w:color="000000"/>
            </w:tcBorders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Random</w:t>
            </w:r>
            <w:r>
              <w:rPr>
                <w:sz w:val="18"/>
              </w:rPr>
              <w:t xml:space="preserve"> </w:t>
            </w:r>
            <m:oMath>
              <m:r>
                <m:t>k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leads removed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4-5</w:t>
            </w:r>
            <w:r>
              <w:rPr>
                <w:sz w:val="18"/>
              </w:rPr>
              <w:t xml:space="preserve">(l)</w:t>
            </w:r>
            <w:r>
              <w:rPr>
                <w:sz w:val="18"/>
              </w:rPr>
              <w:t xml:space="preserve">6-7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Class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Mean</w:t>
            </w:r>
            <w:r>
              <w:rPr>
                <w:sz w:val="18"/>
              </w:rPr>
              <w:t xml:space="preserve"> </w:t>
            </w:r>
            <m:oMath>
              <m:r>
                <m:t>p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(intact)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NORM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131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0.741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0.713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0.606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0.722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0.667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MI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0.750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0.720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0.693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0.744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0.744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STTC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65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0.764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0.765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0.772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0.764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0.771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0.758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0.715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0.688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0.746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0.749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HYP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31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0.620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0.626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0.621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0.627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0.613</w:t>
            </w:r>
          </w:p>
        </w:tc>
      </w:tr>
    </w:tbl>
    <w:p>
      <w:pPr>
        <w:pStyle w:val="BodyText"/>
      </w:pPr>
      <w:r>
        <w:rPr>
          <w:i/>
          <w:iCs/>
        </w:rPr>
        <w:t xml:space="preserve">Federation-level explanation.</w:t>
      </w:r>
      <w:r>
        <w:t xml:space="preserve"> </w:t>
      </w:r>
      <w:r>
        <w:t xml:space="preserve">At the level of the institutions, the Shapley values in</w:t>
      </w:r>
      <w:r>
        <w:t xml:space="preserve"> </w:t>
      </w:r>
      <w:r>
        <w:t xml:space="preserve">Table X show that the four clients contribute comparably to the AUROC of the</w:t>
      </w:r>
      <w:r>
        <w:t xml:space="preserve"> </w:t>
      </w:r>
      <w:r>
        <w:t xml:space="preserve">federation (0.097–0.105 on the test fold), with the recurrent clients C and D contributing most.</w:t>
      </w:r>
      <w:r>
        <w:t xml:space="preserve"> </w:t>
      </w:r>
      <w:r>
        <w:t xml:space="preserve">Together with the signal-level attributions, this gives a clinician two complementary views: which</w:t>
      </w:r>
      <w:r>
        <w:t xml:space="preserve"> </w:t>
      </w:r>
      <w:r>
        <w:t xml:space="preserve">leads and waveform segments drove a finding, and which participating sites the global model relied on.</w:t>
      </w:r>
      <w:r>
        <w:t xml:space="preserve"> </w:t>
      </w:r>
      <w:r>
        <w:t xml:space="preserve">These explanations are post hoc and were not yet reviewed by cardiologists, and IG with a zero</w:t>
      </w:r>
      <w:r>
        <w:t xml:space="preserve"> </w:t>
      </w:r>
      <w:r>
        <w:t xml:space="preserve">baseline, like every attribution method, depends on the choice of baseline.</w:t>
      </w:r>
    </w:p>
    <w:bookmarkEnd w:id="85"/>
    <w:bookmarkStart w:id="86" w:name="Xc0c00379ae31bc70e75433c27933a93e3ae4c60"/>
    <w:p>
      <w:pPr>
        <w:pStyle w:val="Heading2"/>
      </w:pPr>
      <w:r>
        <w:t xml:space="preserve">H. Comparison with State-of-the-Art and Discussion</w:t>
      </w:r>
    </w:p>
    <w:p>
      <w:pPr>
        <w:pStyle w:val="FirstParagraph"/>
      </w:pPr>
      <w:r>
        <w:t xml:space="preserve">Table XVIII compares the proposed model with published results on the PTB-XL superclass</w:t>
      </w:r>
      <w:r>
        <w:t xml:space="preserve"> </w:t>
      </w:r>
      <w:r>
        <w:t xml:space="preserve">task. The models of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were trained centrally on the same folds 1–8 and tested on</w:t>
      </w:r>
      <w:r>
        <w:t xml:space="preserve"> </w:t>
      </w:r>
      <w:r>
        <w:t xml:space="preserve">the same fold 10, and they are therefore the most directly comparable; the other entries use the</w:t>
      </w:r>
      <w:r>
        <w:t xml:space="preserve"> </w:t>
      </w:r>
      <w:r>
        <w:t xml:space="preserve">same superclass labels but different training protocols.</w:t>
      </w:r>
    </w:p>
    <w:p>
      <w:pPr>
        <w:pStyle w:val="TableCaption"/>
      </w:pPr>
      <w:r>
        <w:t xml:space="preserve">TABLE XVIII. Comparison with state-of-the-art results on the PTB-XL five-superclass task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XVIII. Comparison with state-of-the-art results on the PTB-XL five-superclass task"/>
        <w:tblW w:w="5000" w:type="pct"/>
        <w:tblBorders>
          <w:top w:val="single" w:sz="12" w:color="000000"/>
          <w:bottom w:val="single" w:sz="12" w:color="000000"/>
        </w:tblBorders>
      </w:tblPr>
      <w:tblGrid>
        <w:gridCol w:w="2357"/>
        <w:gridCol w:w="2357"/>
        <w:gridCol w:w="2288"/>
        <w:gridCol w:w="2357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Method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Training data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Macro AUROC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Acc. (%)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Wavelet + NN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6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0.874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inception1d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6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0.921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LSTM (bidir.)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6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0.921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xresnet1d101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6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resnet1d_wang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6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0.930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Ensemble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6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0.934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ST-MEM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8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 + pretrain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82.5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METS, zero-shot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[</w:t>
            </w:r>
            <w:r>
              <w:rPr>
                <w:sz w:val="18"/>
              </w:rPr>
              <w:t xml:space="preserve">10</w:t>
            </w:r>
            <w:r>
              <w:rPr>
                <w:sz w:val="18"/>
              </w:rPr>
              <w:t xml:space="preserve">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 + text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84.2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 CNN-LSTM (ours)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86.4 (label)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XGBoost, 172 features (ours)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pooled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86.8 (label)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FedAvg, CNN-LSTM (ours, seed 42)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 sites, 20 rounds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8"/>
              </w:rPr>
              <w:t xml:space="preserve">87.2 (label)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bCs/>
                <w:sz w:val="18"/>
              </w:rPr>
              <w:t xml:space="preserve">Proposed (federated)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 sites, 1 round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bCs/>
                <w:sz w:val="18"/>
              </w:rPr>
              <w:t xml:space="preserve">86.9 (label)</w:t>
            </w:r>
          </w:p>
        </w:tc>
      </w:tr>
    </w:tbl>
    <w:p>
      <w:pPr>
        <w:pStyle w:val="BodyText"/>
      </w:pPr>
      <w:r>
        <w:t xml:space="preserve">The proposed model does not exceed the best centrally trained models: its macro AUROC of 0.905 is</w:t>
      </w:r>
      <w:r>
        <w:t xml:space="preserve"> </w:t>
      </w:r>
      <w:r>
        <w:t xml:space="preserve">0.016–0.029 below the centrally trained deep networks and the ensemble of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. Part of</w:t>
      </w:r>
      <w:r>
        <w:t xml:space="preserve"> </w:t>
      </w:r>
      <w:r>
        <w:t xml:space="preserve">this gap is attributable to the data restriction, since each client sees only 25% of the training</w:t>
      </w:r>
      <w:r>
        <w:t xml:space="preserve"> </w:t>
      </w:r>
      <w:r>
        <w:t xml:space="preserve">records, and part to the training recipe, since our own pooled CNN-LSTM reaches 0.909 rather than</w:t>
      </w:r>
      <w:r>
        <w:t xml:space="preserve"> </w:t>
      </w:r>
      <w:r>
        <w:t xml:space="preserve">0.92–0.93; the recipe (100 Hz input, no test-time augmentation, no external pretraining) was kept</w:t>
      </w:r>
      <w:r>
        <w:t xml:space="preserve"> </w:t>
      </w:r>
      <w:r>
        <w:t xml:space="preserve">fixed for all models to isolate the effect of federation. The accuracies in Table XVIII are</w:t>
      </w:r>
      <w:r>
        <w:t xml:space="preserve"> </w:t>
      </w:r>
      <w:r>
        <w:t xml:space="preserve">not directly comparable either, because ST-MEM and METS report accuracy under their own definitions, whereas the</w:t>
      </w:r>
      <w:r>
        <w:t xml:space="preserve"> </w:t>
      </w:r>
      <w:r>
        <w:t xml:space="preserve">label-wise accuracy of this work averages the five binary decisions.</w:t>
      </w:r>
    </w:p>
    <w:p>
      <w:pPr>
        <w:pStyle w:val="BodyText"/>
      </w:pPr>
      <w:r>
        <w:rPr>
          <w:i/>
          <w:iCs/>
        </w:rPr>
        <w:t xml:space="preserve">Strengths.</w:t>
      </w:r>
      <w:r>
        <w:t xml:space="preserve"> </w:t>
      </w:r>
      <w:r>
        <w:t xml:space="preserve">The main strength of the approach is that it delivers most of the benefit of</w:t>
      </w:r>
      <w:r>
        <w:t xml:space="preserve"> </w:t>
      </w:r>
      <w:r>
        <w:t xml:space="preserve">pooling the data without moving any record or parameter: the federated gate recovers about 70% of the</w:t>
      </w:r>
      <w:r>
        <w:t xml:space="preserve"> </w:t>
      </w:r>
      <w:r>
        <w:t xml:space="preserve">AUROC lost by splitting the data and ties the pooled CNN-LSTM in macro F1, with one communication step</w:t>
      </w:r>
      <w:r>
        <w:t xml:space="preserve"> </w:t>
      </w:r>
      <w:r>
        <w:t xml:space="preserve">and freely chosen architectures. It outperforms every model that can be trained at a single site,</w:t>
      </w:r>
      <w:r>
        <w:t xml:space="preserve"> </w:t>
      </w:r>
      <w:r>
        <w:t xml:space="preserve">including XGBoost on hand-crafted features (0.898 on average), and comes within 0.002 AUROC of FedAvg,</w:t>
      </w:r>
      <w:r>
        <w:t xml:space="preserve"> </w:t>
      </w:r>
      <w:r>
        <w:t xml:space="preserve">which needs twenty synchronised rounds and a common architecture. The improvement over the best institution is statistically</w:t>
      </w:r>
      <w:r>
        <w:t xml:space="preserve"> </w:t>
      </w:r>
      <w:r>
        <w:t xml:space="preserve">significant in every seed, the results are highly reproducible (the SD of the gate’s macro AUROC over</w:t>
      </w:r>
      <w:r>
        <w:t xml:space="preserve"> </w:t>
      </w:r>
      <w:r>
        <w:t xml:space="preserve">seeds is below 0.001), and all modelling choices, including the aggregation rule, were made on</w:t>
      </w:r>
      <w:r>
        <w:t xml:space="preserve"> </w:t>
      </w:r>
      <w:r>
        <w:t xml:space="preserve">validation data before a single evaluation on the test fold. The triage rule converts the model into a</w:t>
      </w:r>
      <w:r>
        <w:t xml:space="preserve"> </w:t>
      </w:r>
      <w:r>
        <w:t xml:space="preserve">tool that decides about half of all findings automatically at a precision above 0.93, while stating</w:t>
      </w:r>
      <w:r>
        <w:t xml:space="preserve"> </w:t>
      </w:r>
      <w:r>
        <w:t xml:space="preserve">explicitly which findings require a cardiologist.</w:t>
      </w:r>
    </w:p>
    <w:p>
      <w:pPr>
        <w:pStyle w:val="BodyText"/>
      </w:pPr>
      <w:r>
        <w:rPr>
          <w:i/>
          <w:iCs/>
        </w:rPr>
        <w:t xml:space="preserve">Limitations.</w:t>
      </w:r>
      <w:r>
        <w:t xml:space="preserve"> </w:t>
      </w:r>
      <w:r>
        <w:t xml:space="preserve">First, the four clients are simulated partitions of one dataset from one</w:t>
      </w:r>
      <w:r>
        <w:t xml:space="preserve"> </w:t>
      </w:r>
      <w:r>
        <w:t xml:space="preserve">hospital system with near-identical label distributions, so the benefits of the method under real</w:t>
      </w:r>
      <w:r>
        <w:t xml:space="preserve"> </w:t>
      </w:r>
      <w:r>
        <w:t xml:space="preserve">inter-site shifts (different devices, populations and label practices) remain to be shown. Second,</w:t>
      </w:r>
      <w:r>
        <w:t xml:space="preserve"> </w:t>
      </w:r>
      <w:r>
        <w:t xml:space="preserve">fold 9 is used for early stopping, calibration, thresholds and the gate, so validation figures are</w:t>
      </w:r>
      <w:r>
        <w:t xml:space="preserve"> </w:t>
      </w:r>
      <w:r>
        <w:t xml:space="preserve">optimistic; only the test-fold figures are unbiased. Third, the learned gates did not improve on</w:t>
      </w:r>
      <w:r>
        <w:t xml:space="preserve"> </w:t>
      </w:r>
      <w:r>
        <w:t xml:space="preserve">equal weighting, which suggests that the per-patient gate lacks informative inputs when all clients</w:t>
      </w:r>
      <w:r>
        <w:t xml:space="preserve"> </w:t>
      </w:r>
      <w:r>
        <w:t xml:space="preserve">see the same signal. Fourth, HYP remains poorly recognised, and the bootstrap confidence intervals</w:t>
      </w:r>
      <w:r>
        <w:t xml:space="preserve"> </w:t>
      </w:r>
      <w:r>
        <w:t xml:space="preserve">resample records rather than patients (the test fold contains 2,158 records from 1,877 patients).</w:t>
      </w:r>
      <w:r>
        <w:t xml:space="preserve"> </w:t>
      </w:r>
      <w:r>
        <w:t xml:space="preserve">Fifth, two baselines are stronger than the proposed model: parameter averaging with a shared</w:t>
      </w:r>
      <w:r>
        <w:t xml:space="preserve"> </w:t>
      </w:r>
      <w:r>
        <w:t xml:space="preserve">CNN-LSTM (FedAvg and FedNova, 0.907) and, without any federation, XGBoost on hand-crafted features</w:t>
      </w:r>
      <w:r>
        <w:t xml:space="preserve"> </w:t>
      </w:r>
      <w:r>
        <w:t xml:space="preserve">trained on the pooled data (0.909, macro F1 72.6%). The latter shows that absolute amplitude features,</w:t>
      </w:r>
      <w:r>
        <w:t xml:space="preserve"> </w:t>
      </w:r>
      <w:r>
        <w:t xml:space="preserve">which the deep clients do not see, carry information that the current gate cannot exploit; adding a</w:t>
      </w:r>
      <w:r>
        <w:t xml:space="preserve"> </w:t>
      </w:r>
      <w:r>
        <w:t xml:space="preserve">feature-based client to the federation is an obvious extension. Finally, the federated baselines and the</w:t>
      </w:r>
      <w:r>
        <w:t xml:space="preserve"> </w:t>
      </w:r>
      <w:r>
        <w:t xml:space="preserve">activation and optimizer ablations were run with a single seed, and the triage and explanation analyses</w:t>
      </w:r>
      <w:r>
        <w:t xml:space="preserve"> </w:t>
      </w:r>
      <w:r>
        <w:t xml:space="preserve">use seed 42.</w:t>
      </w:r>
    </w:p>
    <w:p>
      <w:pPr>
        <w:pStyle w:val="BodyText"/>
      </w:pPr>
      <w:r>
        <w:rPr>
          <w:i/>
          <w:iCs/>
        </w:rPr>
        <w:t xml:space="preserve">Why federation helps.</w:t>
      </w:r>
      <w:r>
        <w:t xml:space="preserve"> </w:t>
      </w:r>
      <w:r>
        <w:t xml:space="preserve">The federation helps for two reasons. It enlarges the effective</w:t>
      </w:r>
      <w:r>
        <w:t xml:space="preserve"> </w:t>
      </w:r>
      <w:r>
        <w:t xml:space="preserve">training set without data sharing: no single client can learn from more than a quarter of the</w:t>
      </w:r>
      <w:r>
        <w:t xml:space="preserve"> </w:t>
      </w:r>
      <w:r>
        <w:t xml:space="preserve">records, but the gate combines models that together have seen all of them. And because the clients</w:t>
      </w:r>
      <w:r>
        <w:t xml:space="preserve"> </w:t>
      </w:r>
      <w:r>
        <w:t xml:space="preserve">use different architectures, their errors are only partly correlated, so averaging their calibrated</w:t>
      </w:r>
      <w:r>
        <w:t xml:space="preserve"> </w:t>
      </w:r>
      <w:r>
        <w:t xml:space="preserve">probabilities reduces variance in the same way as a deep ensemble</w:t>
      </w:r>
      <w:r>
        <w:t xml:space="preserve"> </w:t>
      </w:r>
      <w:r>
        <w:t xml:space="preserve">[</w:t>
      </w:r>
      <w:r>
        <w:t xml:space="preserve">44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45</w:t>
      </w:r>
      <w:r>
        <w:t xml:space="preserve">]</w:t>
      </w:r>
      <w:r>
        <w:t xml:space="preserve">:</w:t>
      </w:r>
      <w:r>
        <w:t xml:space="preserve"> </w:t>
      </w:r>
      <w:r>
        <w:t xml:space="preserve">every pair of clients already outperforms every single client, even though no client was trained to</w:t>
      </w:r>
      <w:r>
        <w:t xml:space="preserve"> </w:t>
      </w:r>
      <w:r>
        <w:t xml:space="preserve">complement the others.</w:t>
      </w:r>
    </w:p>
    <w:bookmarkEnd w:id="86"/>
    <w:bookmarkEnd w:id="87"/>
    <w:bookmarkStart w:id="88" w:name="v.-conclusion-and-future-work"/>
    <w:p>
      <w:pPr>
        <w:pStyle w:val="Heading1"/>
      </w:pPr>
      <w:r>
        <w:t xml:space="preserve">V. Conclusion and Future Work</w:t>
      </w:r>
    </w:p>
    <w:p>
      <w:pPr>
        <w:pStyle w:val="FirstParagraph"/>
      </w:pPr>
      <w:r>
        <w:t xml:space="preserve">This paper presented CardioSentinel, a privacy-preserving, one-shot federated model for the multi-label</w:t>
      </w:r>
      <w:r>
        <w:t xml:space="preserve"> </w:t>
      </w:r>
      <w:r>
        <w:t xml:space="preserve">classification of 12-lead ECGs into the five PTB-XL diagnostic superclasses. Four clients trained a</w:t>
      </w:r>
      <w:r>
        <w:t xml:space="preserve"> </w:t>
      </w:r>
      <w:r>
        <w:t xml:space="preserve">1D CNN, a 1D ResNet, a BiLSTM and a CNN-LSTM on disjoint, patient-separated quarters of the training</w:t>
      </w:r>
      <w:r>
        <w:t xml:space="preserve"> </w:t>
      </w:r>
      <w:r>
        <w:t xml:space="preserve">data, calibrated them, and shared only their class probabilities with a server that combines them on</w:t>
      </w:r>
      <w:r>
        <w:t xml:space="preserve"> </w:t>
      </w:r>
      <w:r>
        <w:t xml:space="preserve">the probability simplex. A parsimony-first selection on patient-grouped validation predictions chose</w:t>
      </w:r>
      <w:r>
        <w:t xml:space="preserve"> </w:t>
      </w:r>
      <w:r>
        <w:t xml:space="preserve">equal weighting over learned static weights and a per-patient dynamic gate in all three seeds. On the</w:t>
      </w:r>
      <w:r>
        <w:t xml:space="preserve"> </w:t>
      </w:r>
      <w:r>
        <w:t xml:space="preserve">untouched test fold the federated model reached a macro AUROC of 0.905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0.000, a macro F1 of</w:t>
      </w:r>
      <w:r>
        <w:t xml:space="preserve"> </w:t>
      </w:r>
      <w:r>
        <w:t xml:space="preserve">70.7% and a label-wise accuracy of 86.9%, improved on the best single client in every seed</w:t>
      </w:r>
      <w:r>
        <w:t xml:space="preserve"> </w:t>
      </w:r>
      <w:r>
        <w:t xml:space="preserve">(+0.009 to +0.012 AUROC, paired bootstrap), and came within 0.004 AUROC of a model trained on all</w:t>
      </w:r>
      <w:r>
        <w:t xml:space="preserve"> </w:t>
      </w:r>
      <w:r>
        <w:t xml:space="preserve">data pooled together while matching its macro F1. It outperformed every model trainable at a single</w:t>
      </w:r>
      <w:r>
        <w:t xml:space="preserve"> </w:t>
      </w:r>
      <w:r>
        <w:t xml:space="preserve">site, including hand-crafted-feature XGBoost, whereas FedAvg with a shared CNN-LSTM was 0.002 AUROC</w:t>
      </w:r>
      <w:r>
        <w:t xml:space="preserve"> </w:t>
      </w:r>
      <w:r>
        <w:t xml:space="preserve">better after 20 rounds and pooled-data XGBoost 0.004 better; the proposed scheme therefore trades a small</w:t>
      </w:r>
      <w:r>
        <w:t xml:space="preserve"> </w:t>
      </w:r>
      <w:r>
        <w:t xml:space="preserve">loss in accuracy for a single communication round and a free choice of architecture. Client-subset ablations and Shapley values showed</w:t>
      </w:r>
      <w:r>
        <w:t xml:space="preserve"> </w:t>
      </w:r>
      <w:r>
        <w:t xml:space="preserve">that every institution contributes, which is why equal weighting outperformed learned weights that</w:t>
      </w:r>
      <w:r>
        <w:t xml:space="preserve"> </w:t>
      </w:r>
      <w:r>
        <w:t xml:space="preserve">discard the weaker clients. Integrated Gradients attributed the predictions to leads and waveform</w:t>
      </w:r>
      <w:r>
        <w:t xml:space="preserve"> </w:t>
      </w:r>
      <w:r>
        <w:t xml:space="preserve">segments, and per-finding triage bands automated 53.7% of the findings at a precision of 0.937 and an</w:t>
      </w:r>
      <w:r>
        <w:t xml:space="preserve"> </w:t>
      </w:r>
      <w:r>
        <w:t xml:space="preserve">accuracy of 0.967 while referring the remainder to a cardiologist.</w:t>
      </w:r>
    </w:p>
    <w:p>
      <w:pPr>
        <w:pStyle w:val="BodyText"/>
      </w:pPr>
      <w:r>
        <w:t xml:space="preserve">Future work will follow four directions. First, the method will be evaluated on genuinely</w:t>
      </w:r>
      <w:r>
        <w:t xml:space="preserve"> </w:t>
      </w:r>
      <w:r>
        <w:t xml:space="preserve">heterogeneous institutions with different devices, populations and label distributions, where the</w:t>
      </w:r>
      <w:r>
        <w:t xml:space="preserve"> </w:t>
      </w:r>
      <w:r>
        <w:t xml:space="preserve">diversity of the clients and the need for a learned gate are expected to be larger. Second, a client</w:t>
      </w:r>
      <w:r>
        <w:t xml:space="preserve"> </w:t>
      </w:r>
      <w:r>
        <w:t xml:space="preserve">trained on hand-crafted amplitude features, such as the XGBoost model that reached 0.909 AUROC on pooled</w:t>
      </w:r>
      <w:r>
        <w:t xml:space="preserve"> </w:t>
      </w:r>
      <w:r>
        <w:t xml:space="preserve">data, will be added to the federation, and the parameter-averaging baselines will be repeated over</w:t>
      </w:r>
      <w:r>
        <w:t xml:space="preserve"> </w:t>
      </w:r>
      <w:r>
        <w:t xml:space="preserve">several seeds and with longer training. Third, the gate will receive inputs that actually differ between</w:t>
      </w:r>
      <w:r>
        <w:t xml:space="preserve"> </w:t>
      </w:r>
      <w:r>
        <w:t xml:space="preserve">clients, such as additional modalities or site metadata, so that per-patient weighting can become</w:t>
      </w:r>
      <w:r>
        <w:t xml:space="preserve"> </w:t>
      </w:r>
      <w:r>
        <w:t xml:space="preserve">informative, and formal guarantees such as differential privacy on the shared probabilities will be</w:t>
      </w:r>
      <w:r>
        <w:t xml:space="preserve"> </w:t>
      </w:r>
      <w:r>
        <w:t xml:space="preserve">studied. Fourth, the recognition of hypertrophy will be improved, for example by restoring absolute</w:t>
      </w:r>
      <w:r>
        <w:t xml:space="preserve"> </w:t>
      </w:r>
      <w:r>
        <w:t xml:space="preserve">voltage information that per-recording normalisation removes, and the explanations will be validated</w:t>
      </w:r>
      <w:r>
        <w:t xml:space="preserve"> </w:t>
      </w:r>
      <w:r>
        <w:t xml:space="preserve">with cardiologists.</w:t>
      </w:r>
    </w:p>
    <w:bookmarkEnd w:id="88"/>
    <w:bookmarkStart w:id="89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</w:t>
      </w:r>
      <w:r>
        <w:t xml:space="preserve">1</w:t>
      </w:r>
      <w:r>
        <w:t xml:space="preserve">]</w:t>
      </w:r>
      <w:r>
        <w:t xml:space="preserve"> G. A. Roth, G. A. Mensah, C. O. Johnson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“Global burden of cardiovascular diseases and risk factors, 1990–2019: Update from the</w:t>
      </w:r>
      <w:r>
        <w:t xml:space="preserve"> </w:t>
      </w:r>
      <w:r>
        <w:t xml:space="preserve">GBD</w:t>
      </w:r>
      <w:r>
        <w:t xml:space="preserve"> </w:t>
      </w:r>
      <w:r>
        <w:t xml:space="preserve">2019 study,”</w:t>
      </w:r>
      <w:r>
        <w:t xml:space="preserve"> </w:t>
      </w:r>
      <w:r>
        <w:rPr>
          <w:i/>
          <w:iCs/>
        </w:rPr>
        <w:t xml:space="preserve">Journal of the American College of Cardiology</w:t>
      </w:r>
      <w:r>
        <w:t xml:space="preserve">, vol. 76, no. 25, pp. 2982–3021, 2020.</w:t>
      </w:r>
    </w:p>
    <w:p>
      <w:pPr>
        <w:pStyle w:val="BodyText"/>
      </w:pPr>
      <w:r>
        <w:t xml:space="preserve">[</w:t>
      </w:r>
      <w:r>
        <w:t xml:space="preserve">2</w:t>
      </w:r>
      <w:r>
        <w:t xml:space="preserve">]</w:t>
      </w:r>
      <w:r>
        <w:t xml:space="preserve"> J. Schl</w:t>
      </w:r>
      <w:r>
        <w:t xml:space="preserve">ä</w:t>
      </w:r>
      <w:r>
        <w:t xml:space="preserve">pfer and H. J. Wellens,</w:t>
      </w:r>
      <w:r>
        <w:t xml:space="preserve"> </w:t>
      </w:r>
      <w:r>
        <w:t xml:space="preserve">“Computer-interpreted electrocardiograms: Benefits and limitations,”</w:t>
      </w:r>
      <w:r>
        <w:t xml:space="preserve"> </w:t>
      </w:r>
      <w:r>
        <w:rPr>
          <w:i/>
          <w:iCs/>
        </w:rPr>
        <w:t xml:space="preserve">Journal of the American College of Cardiology</w:t>
      </w:r>
      <w:r>
        <w:t xml:space="preserve">, vol. 70, no. 9, pp. 1183–1192, 2017.</w:t>
      </w:r>
    </w:p>
    <w:p>
      <w:pPr>
        <w:pStyle w:val="BodyText"/>
      </w:pPr>
      <w:r>
        <w:t xml:space="preserve">[</w:t>
      </w:r>
      <w:r>
        <w:t xml:space="preserve">3</w:t>
      </w:r>
      <w:r>
        <w:t xml:space="preserve">]</w:t>
      </w:r>
      <w:r>
        <w:t xml:space="preserve"> A. Y. Hannun, P. Rajpurkar, M. Haghpanahi, G. H. Tison, C. Bourn, M. P. Turakhia, and A. Y. Ng,</w:t>
      </w:r>
      <w:r>
        <w:t xml:space="preserve"> </w:t>
      </w:r>
      <w:r>
        <w:t xml:space="preserve">“Cardiologist-level arrhythmia detection and classification in ambulatory electrocardiograms using a deep neural network,”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 25, no. 1, pp. 65–69, 2019.</w:t>
      </w:r>
    </w:p>
    <w:p>
      <w:pPr>
        <w:pStyle w:val="BodyText"/>
      </w:pPr>
      <w:r>
        <w:t xml:space="preserve">[</w:t>
      </w:r>
      <w:r>
        <w:t xml:space="preserve">4</w:t>
      </w:r>
      <w:r>
        <w:t xml:space="preserve">]</w:t>
      </w:r>
      <w:r>
        <w:t xml:space="preserve"> A. H. Ribeiro, M. H. Ribeiro, G. M. M. Paix</w:t>
      </w:r>
      <w:r>
        <w:t xml:space="preserve">ã</w:t>
      </w:r>
      <w:r>
        <w:t xml:space="preserve">o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“Automatic diagnosis of the 12-lead</w:t>
      </w:r>
      <w:r>
        <w:t xml:space="preserve"> </w:t>
      </w:r>
      <w:r>
        <w:t xml:space="preserve">ECG</w:t>
      </w:r>
      <w:r>
        <w:t xml:space="preserve"> </w:t>
      </w:r>
      <w:r>
        <w:t xml:space="preserve">using a deep neural network,”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vol. 11, p. 1760, 2020.</w:t>
      </w:r>
    </w:p>
    <w:p>
      <w:pPr>
        <w:pStyle w:val="BodyText"/>
      </w:pPr>
      <w:r>
        <w:t xml:space="preserve">[</w:t>
      </w:r>
      <w:r>
        <w:t xml:space="preserve">5</w:t>
      </w:r>
      <w:r>
        <w:t xml:space="preserve">]</w:t>
      </w:r>
      <w:r>
        <w:t xml:space="preserve"> P. Wagner, N. Strodthoff, R.-D. Bousseljot, D. Kreiseler, F. I. Lunze, W. Samek, and T. Schaeffter,</w:t>
      </w:r>
      <w:r>
        <w:t xml:space="preserve"> </w:t>
      </w:r>
      <w:r>
        <w:t xml:space="preserve">“</w:t>
      </w:r>
      <w:r>
        <w:t xml:space="preserve">PTB-XL</w:t>
      </w:r>
      <w:r>
        <w:t xml:space="preserve">, a large publicly available electrocardiography 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7, p. 154, 2020.</w:t>
      </w:r>
    </w:p>
    <w:p>
      <w:pPr>
        <w:pStyle w:val="BodyText"/>
      </w:pPr>
      <w:r>
        <w:t xml:space="preserve">[</w:t>
      </w:r>
      <w:r>
        <w:t xml:space="preserve">6</w:t>
      </w:r>
      <w:r>
        <w:t xml:space="preserve">]</w:t>
      </w:r>
      <w:r>
        <w:t xml:space="preserve"> N. Strodthoff, P. Wagner, T. Schaeffter, and W. Samek,</w:t>
      </w:r>
      <w:r>
        <w:t xml:space="preserve"> </w:t>
      </w:r>
      <w:r>
        <w:t xml:space="preserve">“Deep learning for</w:t>
      </w:r>
      <w:r>
        <w:t xml:space="preserve"> </w:t>
      </w:r>
      <w:r>
        <w:t xml:space="preserve">ECG</w:t>
      </w:r>
      <w:r>
        <w:t xml:space="preserve"> </w:t>
      </w:r>
      <w:r>
        <w:t xml:space="preserve">analysis: Benchmarks and insights from</w:t>
      </w:r>
      <w:r>
        <w:t xml:space="preserve"> </w:t>
      </w:r>
      <w:r>
        <w:t xml:space="preserve">PTB-XL</w:t>
      </w:r>
      <w:r>
        <w:t xml:space="preserve">,”</w:t>
      </w:r>
      <w:r>
        <w:t xml:space="preserve"> </w:t>
      </w:r>
      <w:r>
        <w:rPr>
          <w:i/>
          <w:iCs/>
        </w:rPr>
        <w:t xml:space="preserve">IEEE Journal of Biomedical and Health Informatics</w:t>
      </w:r>
      <w:r>
        <w:t xml:space="preserve">, vol. 25, no. 5, pp. 1519–1528, 2021.</w:t>
      </w:r>
    </w:p>
    <w:p>
      <w:pPr>
        <w:pStyle w:val="BodyText"/>
      </w:pPr>
      <w:r>
        <w:t xml:space="preserve">[</w:t>
      </w:r>
      <w:r>
        <w:t xml:space="preserve">7</w:t>
      </w:r>
      <w:r>
        <w:t xml:space="preserve">]</w:t>
      </w:r>
      <w:r>
        <w:t xml:space="preserve"> T. Mehari and N. Strodthoff,</w:t>
      </w:r>
      <w:r>
        <w:t xml:space="preserve"> </w:t>
      </w:r>
      <w:r>
        <w:t xml:space="preserve">“Self-supervised representation learning from 12-lead</w:t>
      </w:r>
      <w:r>
        <w:t xml:space="preserve"> </w:t>
      </w:r>
      <w:r>
        <w:t xml:space="preserve">ECG</w:t>
      </w:r>
      <w:r>
        <w:t xml:space="preserve"> </w:t>
      </w:r>
      <w:r>
        <w:t xml:space="preserve">data,”</w:t>
      </w:r>
      <w:r>
        <w:t xml:space="preserve"> </w:t>
      </w:r>
      <w:r>
        <w:rPr>
          <w:i/>
          <w:iCs/>
        </w:rPr>
        <w:t xml:space="preserve">Computers in Biology and Medicine</w:t>
      </w:r>
      <w:r>
        <w:t xml:space="preserve">, vol. 141, p. 105114, 2022.</w:t>
      </w:r>
    </w:p>
    <w:p>
      <w:pPr>
        <w:pStyle w:val="BodyText"/>
      </w:pPr>
      <w:r>
        <w:t xml:space="preserve">[</w:t>
      </w:r>
      <w:r>
        <w:t xml:space="preserve">8</w:t>
      </w:r>
      <w:r>
        <w:t xml:space="preserve">]</w:t>
      </w:r>
      <w:r>
        <w:t xml:space="preserve"> Y. Na, M. Park, Y. Tae, and S. Joo,</w:t>
      </w:r>
      <w:r>
        <w:t xml:space="preserve"> </w:t>
      </w:r>
      <w:r>
        <w:t xml:space="preserve">“Guiding masked representation learning to capture spatio-temporal relationship of electrocardiogram,”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International Conference on Learning Representations (ICLR)</w:t>
      </w:r>
      <w:r>
        <w:t xml:space="preserve">, 2024.</w:t>
      </w:r>
    </w:p>
    <w:p>
      <w:pPr>
        <w:pStyle w:val="BodyText"/>
      </w:pPr>
      <w:r>
        <w:t xml:space="preserve">[</w:t>
      </w:r>
      <w:r>
        <w:t xml:space="preserve">9</w:t>
      </w:r>
      <w:r>
        <w:t xml:space="preserve">]</w:t>
      </w:r>
      <w:r>
        <w:t xml:space="preserve"> T. Mehari and N. Strodthoff,</w:t>
      </w:r>
      <w:r>
        <w:t xml:space="preserve"> </w:t>
      </w:r>
      <w:r>
        <w:t xml:space="preserve">“Towards quantitative precision for</w:t>
      </w:r>
      <w:r>
        <w:t xml:space="preserve"> </w:t>
      </w:r>
      <w:r>
        <w:t xml:space="preserve">ECG</w:t>
      </w:r>
      <w:r>
        <w:t xml:space="preserve"> </w:t>
      </w:r>
      <w:r>
        <w:t xml:space="preserve">analysis: Leveraging state space models, self-supervision and patient metadata,”</w:t>
      </w:r>
      <w:r>
        <w:t xml:space="preserve"> </w:t>
      </w:r>
      <w:r>
        <w:rPr>
          <w:i/>
          <w:iCs/>
        </w:rPr>
        <w:t xml:space="preserve">IEEE Journal of Biomedical and Health Informatics</w:t>
      </w:r>
      <w:r>
        <w:t xml:space="preserve">, vol. 27, no. 11, pp. 5326–5334, 2023.</w:t>
      </w:r>
    </w:p>
    <w:p>
      <w:pPr>
        <w:pStyle w:val="BodyText"/>
      </w:pPr>
      <w:r>
        <w:t xml:space="preserve">[</w:t>
      </w:r>
      <w:r>
        <w:t xml:space="preserve">10</w:t>
      </w:r>
      <w:r>
        <w:t xml:space="preserve">]</w:t>
      </w:r>
      <w:r>
        <w:t xml:space="preserve"> J. Li, C. Liu, S. Cheng, R. Arcucci, and S. Hong,</w:t>
      </w:r>
      <w:r>
        <w:t xml:space="preserve"> </w:t>
      </w:r>
      <w:r>
        <w:t xml:space="preserve">“Frozen language model helps</w:t>
      </w:r>
      <w:r>
        <w:t xml:space="preserve"> </w:t>
      </w:r>
      <w:r>
        <w:t xml:space="preserve">ECG</w:t>
      </w:r>
      <w:r>
        <w:t xml:space="preserve"> </w:t>
      </w:r>
      <w:r>
        <w:t xml:space="preserve">zero-shot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Medical Imaging with Deep Learning (MIDL)</w:t>
      </w:r>
      <w:r>
        <w:t xml:space="preserve">, ser. PMLR, vol. 227, 2023.</w:t>
      </w:r>
    </w:p>
    <w:p>
      <w:pPr>
        <w:pStyle w:val="BodyText"/>
      </w:pPr>
      <w:r>
        <w:t xml:space="preserve">[</w:t>
      </w:r>
      <w:r>
        <w:t xml:space="preserve">11</w:t>
      </w:r>
      <w:r>
        <w:t xml:space="preserve">]</w:t>
      </w:r>
      <w:r>
        <w:t xml:space="preserve"> C. Liu, Z. Wan, C. Ouyang, A. Shah, W. Bai, and R. Arcucci,</w:t>
      </w:r>
      <w:r>
        <w:t xml:space="preserve"> </w:t>
      </w:r>
      <w:r>
        <w:t xml:space="preserve">“Zero-shot</w:t>
      </w:r>
      <w:r>
        <w:t xml:space="preserve"> </w:t>
      </w:r>
      <w:r>
        <w:t xml:space="preserve">ECG</w:t>
      </w:r>
      <w:r>
        <w:t xml:space="preserve"> </w:t>
      </w:r>
      <w:r>
        <w:t xml:space="preserve">classification with multimodal learning and test-time clinical knowledge enhancement,”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International Conference on Machine Learning (ICML)</w:t>
      </w:r>
      <w:r>
        <w:t xml:space="preserve">, ser. PMLR, vol. 235, 2024.</w:t>
      </w:r>
    </w:p>
    <w:p>
      <w:pPr>
        <w:pStyle w:val="BodyText"/>
      </w:pPr>
      <w:r>
        <w:t xml:space="preserve">[</w:t>
      </w:r>
      <w:r>
        <w:t xml:space="preserve">12</w:t>
      </w:r>
      <w:r>
        <w:t xml:space="preserve">]</w:t>
      </w:r>
      <w:r>
        <w:t xml:space="preserve"> N. Rieke, J. Hancox, W. Li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“The future of digital health with federated learning,”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vol. 3, p. 119, 2020.</w:t>
      </w:r>
    </w:p>
    <w:p>
      <w:pPr>
        <w:pStyle w:val="BodyText"/>
      </w:pPr>
      <w:r>
        <w:t xml:space="preserve">[</w:t>
      </w:r>
      <w:r>
        <w:t xml:space="preserve">13</w:t>
      </w:r>
      <w:r>
        <w:t xml:space="preserve">]</w:t>
      </w:r>
      <w:r>
        <w:t xml:space="preserve"> P. Kairouz, H. B. McMahan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“Advances and open problems in federated learning,”</w:t>
      </w:r>
      <w:r>
        <w:t xml:space="preserve"> </w:t>
      </w:r>
      <w:r>
        <w:rPr>
          <w:i/>
          <w:iCs/>
        </w:rPr>
        <w:t xml:space="preserve">Foundations and Trends in Machine Learning</w:t>
      </w:r>
      <w:r>
        <w:t xml:space="preserve">, vol. 14, no. 1–2, pp. 1–210, 2021.</w:t>
      </w:r>
    </w:p>
    <w:p>
      <w:pPr>
        <w:pStyle w:val="BodyText"/>
      </w:pPr>
      <w:r>
        <w:t xml:space="preserve">[</w:t>
      </w:r>
      <w:r>
        <w:t xml:space="preserve">14</w:t>
      </w:r>
      <w:r>
        <w:t xml:space="preserve">]</w:t>
      </w:r>
      <w:r>
        <w:t xml:space="preserve"> B. McMahan, E. Moore, D. Ramage, S. Hampson, and B. A. y. Arcas,</w:t>
      </w:r>
      <w:r>
        <w:t xml:space="preserve"> </w:t>
      </w:r>
      <w:r>
        <w:t xml:space="preserve">“Communication-efficient learning of deep networks from decentralized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International Conference on Artificial Intelligence and Statistics (AISTATS)</w:t>
      </w:r>
      <w:r>
        <w:t xml:space="preserve">, ser. PMLR, vol. 54, 2017, pp. 1273–1282.</w:t>
      </w:r>
    </w:p>
    <w:p>
      <w:pPr>
        <w:pStyle w:val="BodyText"/>
      </w:pPr>
      <w:r>
        <w:t xml:space="preserve">[</w:t>
      </w:r>
      <w:r>
        <w:t xml:space="preserve">15</w:t>
      </w:r>
      <w:r>
        <w:t xml:space="preserve">]</w:t>
      </w:r>
      <w:r>
        <w:t xml:space="preserve"> T. Li, A. K. Sahu, M. Zaheer, M. Sanjabi, A. Talwalkar, and V. Smith,</w:t>
      </w:r>
      <w:r>
        <w:t xml:space="preserve"> </w:t>
      </w:r>
      <w:r>
        <w:t xml:space="preserve">“Federated optimization in heterogeneous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Machine Learning and Systems (MLSys)</w:t>
      </w:r>
      <w:r>
        <w:t xml:space="preserve">, vol. 2, 2020, pp. 429–450.</w:t>
      </w:r>
    </w:p>
    <w:p>
      <w:pPr>
        <w:pStyle w:val="BodyText"/>
      </w:pPr>
      <w:r>
        <w:t xml:space="preserve">[</w:t>
      </w:r>
      <w:r>
        <w:t xml:space="preserve">16</w:t>
      </w:r>
      <w:r>
        <w:t xml:space="preserve">]</w:t>
      </w:r>
      <w:r>
        <w:t xml:space="preserve"> S. P. Karimireddy, S. Kale, M. Mohri, S. Reddi, S. Stich, and A. T. Suresh,</w:t>
      </w:r>
      <w:r>
        <w:t xml:space="preserve"> </w:t>
      </w:r>
      <w:r>
        <w:t xml:space="preserve">“</w:t>
      </w:r>
      <w:r>
        <w:t xml:space="preserve">SCAFFOLD</w:t>
      </w:r>
      <w:r>
        <w:t xml:space="preserve">: Stochastic controlled averaging for federated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International Conference on Machine Learning (ICML)</w:t>
      </w:r>
      <w:r>
        <w:t xml:space="preserve">, ser. PMLR, vol. 119, 2020, pp. 5132–5143.</w:t>
      </w:r>
    </w:p>
    <w:p>
      <w:pPr>
        <w:pStyle w:val="BodyText"/>
      </w:pPr>
      <w:r>
        <w:t xml:space="preserve">[</w:t>
      </w:r>
      <w:r>
        <w:t xml:space="preserve">17</w:t>
      </w:r>
      <w:r>
        <w:t xml:space="preserve">]</w:t>
      </w:r>
      <w:r>
        <w:t xml:space="preserve"> P. Wagner, T. Mehari, W. Haverkamp, and N. Strodthoff,</w:t>
      </w:r>
      <w:r>
        <w:t xml:space="preserve"> </w:t>
      </w:r>
      <w:r>
        <w:t xml:space="preserve">“Explaining deep learning for</w:t>
      </w:r>
      <w:r>
        <w:t xml:space="preserve"> </w:t>
      </w:r>
      <w:r>
        <w:t xml:space="preserve">ECG</w:t>
      </w:r>
      <w:r>
        <w:t xml:space="preserve"> </w:t>
      </w:r>
      <w:r>
        <w:t xml:space="preserve">analysis: Building blocks for auditing and knowledge discovery,”</w:t>
      </w:r>
      <w:r>
        <w:t xml:space="preserve"> </w:t>
      </w:r>
      <w:r>
        <w:rPr>
          <w:i/>
          <w:iCs/>
        </w:rPr>
        <w:t xml:space="preserve">Computers in Biology and Medicine</w:t>
      </w:r>
      <w:r>
        <w:t xml:space="preserve">, vol. 176, p. 108525, 2024.</w:t>
      </w:r>
    </w:p>
    <w:p>
      <w:pPr>
        <w:pStyle w:val="BodyText"/>
      </w:pPr>
      <w:r>
        <w:t xml:space="preserve">[</w:t>
      </w:r>
      <w:r>
        <w:t xml:space="preserve">18</w:t>
      </w:r>
      <w:r>
        <w:t xml:space="preserve">]</w:t>
      </w:r>
      <w:r>
        <w:t xml:space="preserve"> A. R. Palakayala, P. Kuppusamy, D. Kothandaraman, G. Archana, and J. Gera,</w:t>
      </w:r>
      <w:r>
        <w:t xml:space="preserve"> </w:t>
      </w:r>
      <w:r>
        <w:t xml:space="preserve">“</w:t>
      </w:r>
      <w:r>
        <w:t xml:space="preserve">HAMF</w:t>
      </w:r>
      <w:r>
        <w:t xml:space="preserve">: A novel hierarchical attention-based multi-modal fusion model for</w:t>
      </w:r>
      <w:r>
        <w:t xml:space="preserve"> </w:t>
      </w:r>
      <w:r>
        <w:t xml:space="preserve">Parkinson’s</w:t>
      </w:r>
      <w:r>
        <w:t xml:space="preserve"> </w:t>
      </w:r>
      <w:r>
        <w:t xml:space="preserve">disease classification and severity prediction,”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13, pp. 81 252–81 278, 2025.</w:t>
      </w:r>
    </w:p>
    <w:p>
      <w:pPr>
        <w:pStyle w:val="BodyText"/>
      </w:pPr>
      <w:r>
        <w:t xml:space="preserve">[</w:t>
      </w:r>
      <w:r>
        <w:t xml:space="preserve">19</w:t>
      </w:r>
      <w:r>
        <w:t xml:space="preserve">]</w:t>
      </w:r>
      <w:r>
        <w:t xml:space="preserve"> A. Raza, K. P. Tran, L. Koehl, and S. Li,</w:t>
      </w:r>
      <w:r>
        <w:t xml:space="preserve"> </w:t>
      </w:r>
      <w:r>
        <w:t xml:space="preserve">“Designing</w:t>
      </w:r>
      <w:r>
        <w:t xml:space="preserve"> </w:t>
      </w:r>
      <w:r>
        <w:t xml:space="preserve">ECG</w:t>
      </w:r>
      <w:r>
        <w:t xml:space="preserve"> </w:t>
      </w:r>
      <w:r>
        <w:t xml:space="preserve">monitoring healthcare system with federated transfer learning and explainable</w:t>
      </w:r>
      <w:r>
        <w:t xml:space="preserve"> </w:t>
      </w:r>
      <w:r>
        <w:t xml:space="preserve">AI</w:t>
      </w:r>
      <w:r>
        <w:t xml:space="preserve">,”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, vol. 236, p. 107763, 2022.</w:t>
      </w:r>
    </w:p>
    <w:p>
      <w:pPr>
        <w:pStyle w:val="BodyText"/>
      </w:pPr>
      <w:r>
        <w:t xml:space="preserve">[</w:t>
      </w:r>
      <w:r>
        <w:t xml:space="preserve">20</w:t>
      </w:r>
      <w:r>
        <w:t xml:space="preserve">]</w:t>
      </w:r>
      <w:r>
        <w:t xml:space="preserve"> S. Goto, D. Solanki, J. E. John, R. Yagi, M. Homilius, G. Ichihara, Y. Katsumata, H. K. Gaggin, Y. Itabashi, C. A. MacRae, and R. C. Deo,</w:t>
      </w:r>
      <w:r>
        <w:t xml:space="preserve"> </w:t>
      </w:r>
      <w:r>
        <w:t xml:space="preserve">“Multinational federated learning approach to train</w:t>
      </w:r>
      <w:r>
        <w:t xml:space="preserve"> </w:t>
      </w:r>
      <w:r>
        <w:t xml:space="preserve">ECG</w:t>
      </w:r>
      <w:r>
        <w:t xml:space="preserve"> </w:t>
      </w:r>
      <w:r>
        <w:t xml:space="preserve">and echocardiogram models for hypertrophic cardiomyopathy detection,”</w:t>
      </w:r>
      <w:r>
        <w:t xml:space="preserve"> </w:t>
      </w:r>
      <w:r>
        <w:rPr>
          <w:i/>
          <w:iCs/>
        </w:rPr>
        <w:t xml:space="preserve">Circulation</w:t>
      </w:r>
      <w:r>
        <w:t xml:space="preserve">, vol. 146, no. 10, pp. 755–769, 2022.</w:t>
      </w:r>
    </w:p>
    <w:p>
      <w:pPr>
        <w:pStyle w:val="BodyText"/>
      </w:pPr>
      <w:r>
        <w:t xml:space="preserve">[</w:t>
      </w:r>
      <w:r>
        <w:t xml:space="preserve">21</w:t>
      </w:r>
      <w:r>
        <w:t xml:space="preserve">]</w:t>
      </w:r>
      <w:r>
        <w:t xml:space="preserve"> C. Quan, Z. Chen, K. Ren, and Z. Luo,</w:t>
      </w:r>
      <w:r>
        <w:t xml:space="preserve"> </w:t>
      </w:r>
      <w:r>
        <w:t xml:space="preserve">“</w:t>
      </w:r>
      <w:r>
        <w:t xml:space="preserve">FedOcw</w:t>
      </w:r>
      <w:r>
        <w:t xml:space="preserve">: optimized federated learning for cross-lingual speech-based</w:t>
      </w:r>
      <w:r>
        <w:t xml:space="preserve"> </w:t>
      </w:r>
      <w:r>
        <w:t xml:space="preserve">Parkinson’s</w:t>
      </w:r>
      <w:r>
        <w:t xml:space="preserve"> </w:t>
      </w:r>
      <w:r>
        <w:t xml:space="preserve">disease detection,”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vol. 8, p. 357, 2025.</w:t>
      </w:r>
    </w:p>
    <w:p>
      <w:pPr>
        <w:pStyle w:val="BodyText"/>
      </w:pPr>
      <w:r>
        <w:t xml:space="preserve">[</w:t>
      </w:r>
      <w:r>
        <w:t xml:space="preserve">22</w:t>
      </w:r>
      <w:r>
        <w:t xml:space="preserve">]</w:t>
      </w:r>
      <w:r>
        <w:t xml:space="preserve"> T. A. Sathi, R. Jany, A. K. M. Azad, S. A. Alyami, N. Alotaibi, I. Hussain, and M. A. Hossain,</w:t>
      </w:r>
      <w:r>
        <w:t xml:space="preserve"> </w:t>
      </w:r>
      <w:r>
        <w:t xml:space="preserve">“Explainable federated learning for multi-class heart disease diagnosis via</w:t>
      </w:r>
      <w:r>
        <w:t xml:space="preserve"> </w:t>
      </w:r>
      <w:r>
        <w:t xml:space="preserve">ECG</w:t>
      </w:r>
      <w:r>
        <w:t xml:space="preserve"> </w:t>
      </w:r>
      <w:r>
        <w:t xml:space="preserve">fiducial features,”</w:t>
      </w:r>
      <w:r>
        <w:t xml:space="preserve"> </w:t>
      </w:r>
      <w:r>
        <w:rPr>
          <w:i/>
          <w:iCs/>
        </w:rPr>
        <w:t xml:space="preserve">Diagnostics</w:t>
      </w:r>
      <w:r>
        <w:t xml:space="preserve">, vol. 15, no. 24, p. 3110, 2025.</w:t>
      </w:r>
    </w:p>
    <w:p>
      <w:pPr>
        <w:pStyle w:val="BodyText"/>
      </w:pPr>
      <w:r>
        <w:t xml:space="preserve">[</w:t>
      </w:r>
      <w:r>
        <w:t xml:space="preserve">23</w:t>
      </w:r>
      <w:r>
        <w:t xml:space="preserve">]</w:t>
      </w:r>
      <w:r>
        <w:t xml:space="preserve"> V. Jahmunah, E. Y. K. Ng, R.-S. Tan, S. L. Oh, and U. R. Acharya,</w:t>
      </w:r>
      <w:r>
        <w:t xml:space="preserve"> </w:t>
      </w:r>
      <w:r>
        <w:t xml:space="preserve">“Explainable detection of myocardial infarction using deep learning models with</w:t>
      </w:r>
      <w:r>
        <w:t xml:space="preserve"> </w:t>
      </w:r>
      <w:r>
        <w:t xml:space="preserve">Grad-CAM</w:t>
      </w:r>
      <w:r>
        <w:t xml:space="preserve"> </w:t>
      </w:r>
      <w:r>
        <w:t xml:space="preserve">technique on</w:t>
      </w:r>
      <w:r>
        <w:t xml:space="preserve"> </w:t>
      </w:r>
      <w:r>
        <w:t xml:space="preserve">ECG</w:t>
      </w:r>
      <w:r>
        <w:t xml:space="preserve"> </w:t>
      </w:r>
      <w:r>
        <w:t xml:space="preserve">signals,”</w:t>
      </w:r>
      <w:r>
        <w:t xml:space="preserve"> </w:t>
      </w:r>
      <w:r>
        <w:rPr>
          <w:i/>
          <w:iCs/>
        </w:rPr>
        <w:t xml:space="preserve">Computers in Biology and Medicine</w:t>
      </w:r>
      <w:r>
        <w:t xml:space="preserve">, vol. 146, p. 105550, 2022.</w:t>
      </w:r>
    </w:p>
    <w:p>
      <w:pPr>
        <w:pStyle w:val="BodyText"/>
      </w:pPr>
      <w:r>
        <w:t xml:space="preserve">[</w:t>
      </w:r>
      <w:r>
        <w:t xml:space="preserve">24</w:t>
      </w:r>
      <w:r>
        <w:t xml:space="preserve">]</w:t>
      </w:r>
      <w:r>
        <w:t xml:space="preserve"> P. Pantelidis, S. Ruip</w:t>
      </w:r>
      <w:r>
        <w:t xml:space="preserve">é</w:t>
      </w:r>
      <w:r>
        <w:t xml:space="preserve">rez-Campillo, J. E. Vogt, A. Antonopoulos, I. Gialamas, G. E. Zakynthinos, M. Spartalis, P. Dilaveris, J. Millet, T. G. Papaioannou, E. Oikonomou, and G. Siasos,</w:t>
      </w:r>
      <w:r>
        <w:t xml:space="preserve"> </w:t>
      </w:r>
      <w:r>
        <w:t xml:space="preserve">“</w:t>
      </w:r>
      <w:r>
        <w:t xml:space="preserve">ECG-XPLAIM</w:t>
      </w:r>
      <w:r>
        <w:t xml:space="preserve">:</w:t>
      </w:r>
      <w:r>
        <w:t xml:space="preserve"> </w:t>
      </w:r>
      <w:r>
        <w:t xml:space="preserve">eXPlainable</w:t>
      </w:r>
      <w:r>
        <w:t xml:space="preserve"> </w:t>
      </w:r>
      <w:r>
        <w:t xml:space="preserve">locally-adaptive artificial intelligence model for arrhythmia detection from large-scale electrocardiogram data,”</w:t>
      </w:r>
      <w:r>
        <w:t xml:space="preserve"> </w:t>
      </w:r>
      <w:r>
        <w:rPr>
          <w:i/>
          <w:iCs/>
        </w:rPr>
        <w:t xml:space="preserve">Frontiers in Cardiovascular Medicine</w:t>
      </w:r>
      <w:r>
        <w:t xml:space="preserve">, vol. 12, p. 1659971, 2025.</w:t>
      </w:r>
    </w:p>
    <w:p>
      <w:pPr>
        <w:pStyle w:val="BodyText"/>
      </w:pPr>
      <w:r>
        <w:t xml:space="preserve">[</w:t>
      </w:r>
      <w:r>
        <w:t xml:space="preserve">25</w:t>
      </w:r>
      <w:r>
        <w:t xml:space="preserve">]</w:t>
      </w:r>
      <w:r>
        <w:t xml:space="preserve"> K. He, X. Zhang, S. Ren, and J. Sun,</w:t>
      </w:r>
      <w:r>
        <w:t xml:space="preserve"> </w:t>
      </w:r>
      <w:r>
        <w:t xml:space="preserve">“Deep residual learning for image 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Conference on Computer Vision and Pattern Recognition (CVPR)</w:t>
      </w:r>
      <w:r>
        <w:t xml:space="preserve">, 2016, pp. 770–778.</w:t>
      </w:r>
    </w:p>
    <w:p>
      <w:pPr>
        <w:pStyle w:val="BodyText"/>
      </w:pPr>
      <w:r>
        <w:t xml:space="preserve">[</w:t>
      </w:r>
      <w:r>
        <w:t xml:space="preserve">26</w:t>
      </w:r>
      <w:r>
        <w:t xml:space="preserve">]</w:t>
      </w:r>
      <w:r>
        <w:t xml:space="preserve"> S. Hochreiter and J. Schmidhuber,</w:t>
      </w:r>
      <w:r>
        <w:t xml:space="preserve"> </w:t>
      </w:r>
      <w:r>
        <w:t xml:space="preserve">“Long short-term memory,”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vol. 9, no. 8, pp. 1735–1780, 1997.</w:t>
      </w:r>
    </w:p>
    <w:p>
      <w:pPr>
        <w:pStyle w:val="BodyText"/>
      </w:pPr>
      <w:r>
        <w:t xml:space="preserve">[</w:t>
      </w:r>
      <w:r>
        <w:t xml:space="preserve">27</w:t>
      </w:r>
      <w:r>
        <w:t xml:space="preserve">]</w:t>
      </w:r>
      <w:r>
        <w:t xml:space="preserve"> M. Schuster and K. K. Paliwal,</w:t>
      </w:r>
      <w:r>
        <w:t xml:space="preserve"> </w:t>
      </w:r>
      <w:r>
        <w:t xml:space="preserve">“Bidirectional recurrent neural networks,”</w:t>
      </w:r>
      <w:r>
        <w:t xml:space="preserve"> </w:t>
      </w:r>
      <w:r>
        <w:rPr>
          <w:i/>
          <w:iCs/>
        </w:rPr>
        <w:t xml:space="preserve">IEEE Transactions on Signal Processing</w:t>
      </w:r>
      <w:r>
        <w:t xml:space="preserve">, vol. 45, no. 11, pp. 2673–2681, 1997.</w:t>
      </w:r>
    </w:p>
    <w:p>
      <w:pPr>
        <w:pStyle w:val="BodyText"/>
      </w:pPr>
      <w:r>
        <w:t xml:space="preserve">[</w:t>
      </w:r>
      <w:r>
        <w:t xml:space="preserve">28</w:t>
      </w:r>
      <w:r>
        <w:t xml:space="preserve">]</w:t>
      </w:r>
      <w:r>
        <w:t xml:space="preserve"> C. Guo, G. Pleiss, Y. Sun, and K. Q. Weinberger,</w:t>
      </w:r>
      <w:r>
        <w:t xml:space="preserve"> </w:t>
      </w:r>
      <w:r>
        <w:t xml:space="preserve">“On calibration of modern 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International Conference on Machine Learning (ICML)</w:t>
      </w:r>
      <w:r>
        <w:t xml:space="preserve">, ser. PMLR, vol. 70, 2017, pp. 1321–1330.</w:t>
      </w:r>
    </w:p>
    <w:p>
      <w:pPr>
        <w:pStyle w:val="BodyText"/>
      </w:pPr>
      <w:r>
        <w:t xml:space="preserve">[</w:t>
      </w:r>
      <w:r>
        <w:t xml:space="preserve">29</w:t>
      </w:r>
      <w:r>
        <w:t xml:space="preserve">]</w:t>
      </w:r>
      <w:r>
        <w:t xml:space="preserve"> N. Guha, A. Talwalkar, and V. Smith,</w:t>
      </w:r>
      <w:r>
        <w:t xml:space="preserve"> </w:t>
      </w:r>
      <w:r>
        <w:t xml:space="preserve">“One-shot federated learning,”</w:t>
      </w:r>
      <w:r>
        <w:t xml:space="preserve"> </w:t>
      </w:r>
      <w:r>
        <w:t xml:space="preserve">arXiv:1902.11175, 2019.</w:t>
      </w:r>
    </w:p>
    <w:p>
      <w:pPr>
        <w:pStyle w:val="BodyText"/>
      </w:pPr>
      <w:r>
        <w:t xml:space="preserve">[</w:t>
      </w:r>
      <w:r>
        <w:t xml:space="preserve">30</w:t>
      </w:r>
      <w:r>
        <w:t xml:space="preserve">]</w:t>
      </w:r>
      <w:r>
        <w:t xml:space="preserve"> D. Li and J. Wang,</w:t>
      </w:r>
      <w:r>
        <w:t xml:space="preserve"> </w:t>
      </w:r>
      <w:r>
        <w:t xml:space="preserve">“</w:t>
      </w:r>
      <w:r>
        <w:t xml:space="preserve">FedMD</w:t>
      </w:r>
      <w:r>
        <w:t xml:space="preserve">: Heterogenous federated learning via model distillation,”</w:t>
      </w:r>
      <w:r>
        <w:t xml:space="preserve"> </w:t>
      </w:r>
      <w:r>
        <w:t xml:space="preserve">arXiv:1910.03581, 2019.</w:t>
      </w:r>
    </w:p>
    <w:p>
      <w:pPr>
        <w:pStyle w:val="BodyText"/>
      </w:pPr>
      <w:r>
        <w:t xml:space="preserve">[</w:t>
      </w:r>
      <w:r>
        <w:t xml:space="preserve">31</w:t>
      </w:r>
      <w:r>
        <w:t xml:space="preserve">]</w:t>
      </w:r>
      <w:r>
        <w:t xml:space="preserve"> T. Lin, L. Kong, S. U. Stich, and M. Jaggi,</w:t>
      </w:r>
      <w:r>
        <w:t xml:space="preserve"> </w:t>
      </w:r>
      <w:r>
        <w:t xml:space="preserve">“Ensemble distillation for robust model fusion in federated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vol. 33, 2020, pp. 2351–2363.</w:t>
      </w:r>
    </w:p>
    <w:p>
      <w:pPr>
        <w:pStyle w:val="BodyText"/>
      </w:pPr>
      <w:r>
        <w:t xml:space="preserve">[</w:t>
      </w:r>
      <w:r>
        <w:t xml:space="preserve">32</w:t>
      </w:r>
      <w:r>
        <w:t xml:space="preserve">]</w:t>
      </w:r>
      <w:r>
        <w:t xml:space="preserve"> R. A. Jacobs, M. I. Jordan, S. J. Nowlan, and G. E. Hinton,</w:t>
      </w:r>
      <w:r>
        <w:t xml:space="preserve"> </w:t>
      </w:r>
      <w:r>
        <w:t xml:space="preserve">“Adaptive mixtures of local experts,”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vol. 3, no. 1, pp. 79–87, 1991.</w:t>
      </w:r>
    </w:p>
    <w:p>
      <w:pPr>
        <w:pStyle w:val="BodyText"/>
      </w:pPr>
      <w:r>
        <w:t xml:space="preserve">[</w:t>
      </w:r>
      <w:r>
        <w:t xml:space="preserve">33</w:t>
      </w:r>
      <w:r>
        <w:t xml:space="preserve">]</w:t>
      </w:r>
      <w:r>
        <w:t xml:space="preserve"> M. Sundararajan, A. Taly, and Q. Yan,</w:t>
      </w:r>
      <w:r>
        <w:t xml:space="preserve"> </w:t>
      </w:r>
      <w:r>
        <w:t xml:space="preserve">“Axiomatic attribution for deep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International Conference on Machine Learning (ICML)</w:t>
      </w:r>
      <w:r>
        <w:t xml:space="preserve">, ser. PMLR, vol. 70, 2017, pp. 3319–3328.</w:t>
      </w:r>
    </w:p>
    <w:p>
      <w:pPr>
        <w:pStyle w:val="BodyText"/>
      </w:pPr>
      <w:r>
        <w:t xml:space="preserve">[</w:t>
      </w:r>
      <w:r>
        <w:t xml:space="preserve">34</w:t>
      </w:r>
      <w:r>
        <w:t xml:space="preserve">]</w:t>
      </w:r>
      <w:r>
        <w:t xml:space="preserve"> R. R. Selvaraju, M. Cogswell, A. Das, R. Vedantam, D. Parikh, and D. Batra,</w:t>
      </w:r>
      <w:r>
        <w:t xml:space="preserve"> </w:t>
      </w:r>
      <w:r>
        <w:t xml:space="preserve">“</w:t>
      </w:r>
      <w:r>
        <w:t xml:space="preserve">Grad-CAM</w:t>
      </w:r>
      <w:r>
        <w:t xml:space="preserve">: Visual explanations from deep networks via gradient-based localization,”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International Conference on Computer Vision (ICCV)</w:t>
      </w:r>
      <w:r>
        <w:t xml:space="preserve">, 2017, pp. 618–626.</w:t>
      </w:r>
    </w:p>
    <w:p>
      <w:pPr>
        <w:pStyle w:val="BodyText"/>
      </w:pPr>
      <w:r>
        <w:t xml:space="preserve">[</w:t>
      </w:r>
      <w:r>
        <w:t xml:space="preserve">35</w:t>
      </w:r>
      <w:r>
        <w:t xml:space="preserve">]</w:t>
      </w:r>
      <w:r>
        <w:t xml:space="preserve"> S. M. Lundberg and S.-I. 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vol. 30, 2017, pp. 4765–4774.</w:t>
      </w:r>
    </w:p>
    <w:p>
      <w:pPr>
        <w:pStyle w:val="BodyText"/>
      </w:pPr>
      <w:r>
        <w:t xml:space="preserve">[</w:t>
      </w:r>
      <w:r>
        <w:t xml:space="preserve">36</w:t>
      </w:r>
      <w:r>
        <w:t xml:space="preserve">]</w:t>
      </w:r>
      <w:r>
        <w:t xml:space="preserve"> L. S. Shapley,</w:t>
      </w:r>
      <w:r>
        <w:t xml:space="preserve"> </w:t>
      </w:r>
      <w:r>
        <w:t xml:space="preserve">“A value for n-person games,”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Contributions to the Theory of Games</w:t>
      </w:r>
      <w:r>
        <w:rPr>
          <w:i/>
          <w:iCs/>
        </w:rPr>
        <w:t xml:space="preserve"> </w:t>
      </w:r>
      <w:r>
        <w:rPr>
          <w:i/>
          <w:iCs/>
        </w:rPr>
        <w:t xml:space="preserve">II</w:t>
      </w:r>
      <w:r>
        <w:t xml:space="preserve">, ser. Annals of Mathematics Studies.Princeton University Press, 1953, vol. 28, pp. 307–317.</w:t>
      </w:r>
    </w:p>
    <w:p>
      <w:pPr>
        <w:pStyle w:val="BodyText"/>
      </w:pPr>
      <w:r>
        <w:t xml:space="preserve">[</w:t>
      </w:r>
      <w:r>
        <w:t xml:space="preserve">37</w:t>
      </w:r>
      <w:r>
        <w:t xml:space="preserve">]</w:t>
      </w:r>
      <w:r>
        <w:t xml:space="preserve"> A. L. Goldberger, L. A. N. Amaral, L. Glass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PhysioBank</w:t>
      </w:r>
      <w:r>
        <w:t xml:space="preserve">,</w:t>
      </w:r>
      <w:r>
        <w:t xml:space="preserve"> </w:t>
      </w:r>
      <w:r>
        <w:t xml:space="preserve">PhysioToolkit</w:t>
      </w:r>
      <w:r>
        <w:t xml:space="preserve">, and</w:t>
      </w:r>
      <w:r>
        <w:t xml:space="preserve"> </w:t>
      </w:r>
      <w:r>
        <w:t xml:space="preserve">PhysioNet</w:t>
      </w:r>
      <w:r>
        <w:t xml:space="preserve">: Components of a new research resource for complex physiologic signals,”</w:t>
      </w:r>
      <w:r>
        <w:t xml:space="preserve"> </w:t>
      </w:r>
      <w:r>
        <w:rPr>
          <w:i/>
          <w:iCs/>
        </w:rPr>
        <w:t xml:space="preserve">Circulation</w:t>
      </w:r>
      <w:r>
        <w:t xml:space="preserve">, vol. 101, no. 23, pp. e215–e220, 2000.</w:t>
      </w:r>
    </w:p>
    <w:p>
      <w:pPr>
        <w:pStyle w:val="BodyText"/>
      </w:pPr>
      <w:r>
        <w:t xml:space="preserve">[</w:t>
      </w:r>
      <w:r>
        <w:t xml:space="preserve">38</w:t>
      </w:r>
      <w:r>
        <w:t xml:space="preserve">]</w:t>
      </w:r>
      <w:r>
        <w:t xml:space="preserve"> A. Paszke, S. Gross, F. Massa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PyTorch</w:t>
      </w:r>
      <w:r>
        <w:t xml:space="preserve">: An imperative style, high-performance deep learning library,”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vol. 32, 2019, pp. 8024–8035.</w:t>
      </w:r>
    </w:p>
    <w:p>
      <w:pPr>
        <w:pStyle w:val="BodyText"/>
      </w:pPr>
      <w:r>
        <w:t xml:space="preserve">[</w:t>
      </w:r>
      <w:r>
        <w:t xml:space="preserve">39</w:t>
      </w:r>
      <w:r>
        <w:t xml:space="preserve">]</w:t>
      </w:r>
      <w:r>
        <w:t xml:space="preserve"> I. Loshchilov and F. Hutter,</w:t>
      </w:r>
      <w:r>
        <w:t xml:space="preserve"> </w:t>
      </w:r>
      <w:r>
        <w:t xml:space="preserve">“Decoupled weight decay regularization,”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International Conference on Learning Representations (ICLR)</w:t>
      </w:r>
      <w:r>
        <w:t xml:space="preserve">, 2019.</w:t>
      </w:r>
    </w:p>
    <w:p>
      <w:pPr>
        <w:pStyle w:val="BodyText"/>
      </w:pPr>
      <w:r>
        <w:t xml:space="preserve">[</w:t>
      </w:r>
      <w:r>
        <w:t xml:space="preserve">40</w:t>
      </w:r>
      <w:r>
        <w:t xml:space="preserve">]</w:t>
      </w:r>
      <w:r>
        <w:t xml:space="preserve"> L. N. Smith and N. Topin,</w:t>
      </w:r>
      <w:r>
        <w:t xml:space="preserve"> </w:t>
      </w:r>
      <w:r>
        <w:t xml:space="preserve">“Super-convergence: Very fast training of neural networks using large learning rates,”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SPIE Artificial Intelligence and Machine Learning for Multi-Domain Operations Applications</w:t>
      </w:r>
      <w:r>
        <w:t xml:space="preserve">, vol. 11006, 2019, p. 1100612.</w:t>
      </w:r>
    </w:p>
    <w:p>
      <w:pPr>
        <w:pStyle w:val="BodyText"/>
      </w:pPr>
      <w:r>
        <w:t xml:space="preserve">[</w:t>
      </w:r>
      <w:r>
        <w:t xml:space="preserve">41</w:t>
      </w:r>
      <w:r>
        <w:t xml:space="preserve">]</w:t>
      </w:r>
      <w:r>
        <w:t xml:space="preserve"> B. Efron and R. 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.New York: Chapman &amp; Hall, 1993.</w:t>
      </w:r>
    </w:p>
    <w:p>
      <w:pPr>
        <w:pStyle w:val="BodyText"/>
      </w:pPr>
      <w:r>
        <w:t xml:space="preserve">[</w:t>
      </w:r>
      <w:r>
        <w:t xml:space="preserve">42</w:t>
      </w:r>
      <w:r>
        <w:t xml:space="preserve">]</w:t>
      </w:r>
      <w:r>
        <w:t xml:space="preserve"> D. P. Kingma and J. Ba,</w:t>
      </w:r>
      <w:r>
        <w:t xml:space="preserve"> </w:t>
      </w:r>
      <w:r>
        <w:t xml:space="preserve">“Adam: A method for stochastic optimization,”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International Conference on Learning Representations (ICLR)</w:t>
      </w:r>
      <w:r>
        <w:t xml:space="preserve">, 2015.</w:t>
      </w:r>
    </w:p>
    <w:p>
      <w:pPr>
        <w:pStyle w:val="BodyText"/>
      </w:pPr>
      <w:r>
        <w:t xml:space="preserve">[</w:t>
      </w:r>
      <w:r>
        <w:t xml:space="preserve">43</w:t>
      </w:r>
      <w:r>
        <w:t xml:space="preserve">]</w:t>
      </w:r>
      <w:r>
        <w:t xml:space="preserve"> J. Wang, Q. Liu, H. Liang, G. Joshi, and H. V. Poor,</w:t>
      </w:r>
      <w:r>
        <w:t xml:space="preserve"> </w:t>
      </w:r>
      <w:r>
        <w:t xml:space="preserve">“Tackling the objective inconsistency problem in heterogeneous federated optimization,”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vol. 33, 2020, pp. 7611–7623.</w:t>
      </w:r>
    </w:p>
    <w:p>
      <w:pPr>
        <w:pStyle w:val="BodyText"/>
      </w:pPr>
      <w:r>
        <w:t xml:space="preserve">[</w:t>
      </w:r>
      <w:r>
        <w:t xml:space="preserve">44</w:t>
      </w:r>
      <w:r>
        <w:t xml:space="preserve">]</w:t>
      </w:r>
      <w:r>
        <w:t xml:space="preserve"> B. Lakshminarayanan, A. Pritzel, and C. Blundell,</w:t>
      </w:r>
      <w:r>
        <w:t xml:space="preserve"> </w:t>
      </w:r>
      <w:r>
        <w:t xml:space="preserve">“Simple and scalable predictive uncertainty estimation using deep ensembles,”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vol. 30, 2017, pp. 6402–6413.</w:t>
      </w:r>
    </w:p>
    <w:p>
      <w:pPr>
        <w:pStyle w:val="BodyText"/>
      </w:pPr>
      <w:r>
        <w:t xml:space="preserve">[</w:t>
      </w:r>
      <w:r>
        <w:t xml:space="preserve">45</w:t>
      </w:r>
      <w:r>
        <w:t xml:space="preserve">]</w:t>
      </w:r>
      <w:r>
        <w:t xml:space="preserve"> T. G. Dietterich,</w:t>
      </w:r>
      <w:r>
        <w:t xml:space="preserve"> </w:t>
      </w:r>
      <w:r>
        <w:t xml:space="preserve">“Ensemble methods in machine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Multiple Classifier Systems (MCS)</w:t>
      </w:r>
      <w:r>
        <w:t xml:space="preserve">, ser. Lecture Notes in Computer Science, vol. 1857.Springer, 2000, pp. 1–15.</w:t>
      </w:r>
    </w:p>
    <w:bookmarkEnd w:id="89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/>
      <w:jc w:val="both"/>
    </w:pPr>
    <w:rPr>
      <w:rFonts w:ascii="Times New Roman" w:eastAsia="Times New Roman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  <w:jc w:val="both"/>
    </w:pPr>
    <w:rPr>
      <w:rFonts w:ascii="Times New Roman" w:eastAsia="Times New Roman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Times New Roman" w:hAnsi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rFonts w:ascii="Times New Roman" w:eastAsia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eastAsia="Times New Roman" w:hAnsi="Times New Roman"/>
      <w:color w:val="000000"/>
      <w:sz w:val="18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eastAsia="Times New Roman" w:hAnsi="Times New Roman"/>
      <w:color w:val="000000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eastAsia="Times New Roman" w:hAnsi="Times New Roman"/>
      <w:color w:val="000000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32" Type="http://schemas.openxmlformats.org/officeDocument/2006/relationships/image" Target="media/rId32.png"/><Relationship Id="rId38" Type="http://schemas.openxmlformats.org/officeDocument/2006/relationships/image" Target="media/rId38.png"/><Relationship Id="rId54" Type="http://schemas.openxmlformats.org/officeDocument/2006/relationships/image" Target="media/rId54.png"/><Relationship Id="rId67" Type="http://schemas.openxmlformats.org/officeDocument/2006/relationships/image" Target="media/rId67.jpg"/><Relationship Id="rId74" Type="http://schemas.openxmlformats.org/officeDocument/2006/relationships/image" Target="media/rId74.jpg"/><Relationship Id="rId16" Type="http://schemas.openxmlformats.org/officeDocument/2006/relationships/image" Target="media/rId16.png"/><Relationship Id="rId29" Type="http://schemas.openxmlformats.org/officeDocument/2006/relationships/image" Target="media/rId29.png"/><Relationship Id="rId62" Type="http://schemas.openxmlformats.org/officeDocument/2006/relationships/image" Target="media/rId62.png"/><Relationship Id="rId24" Type="http://schemas.openxmlformats.org/officeDocument/2006/relationships/image" Target="media/rId24.png"/><Relationship Id="rId43" Type="http://schemas.openxmlformats.org/officeDocument/2006/relationships/image" Target="media/rId43.png"/><Relationship Id="rId70" Type="http://schemas.openxmlformats.org/officeDocument/2006/relationships/image" Target="media/rId70.png"/><Relationship Id="rId58" Type="http://schemas.openxmlformats.org/officeDocument/2006/relationships/image" Target="media/rId58.png"/><Relationship Id="rId48" Type="http://schemas.openxmlformats.org/officeDocument/2006/relationships/image" Target="media/rId48.png"/><Relationship Id="rId79" Type="http://schemas.openxmlformats.org/officeDocument/2006/relationships/image" Target="media/rId79.png"/><Relationship Id="rId82" Type="http://schemas.openxmlformats.org/officeDocument/2006/relationships/image" Target="media/rId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CardioSentinel: A Multi-Model Federated Framework for ECG-Based Heart Disease Detection</dc:title>
  <dc:creator>Siddhi Salunkhe (23BDS0243) and Sanvi Saket (23BDS0210)</dc:creator>
  <cp:keywords/>
  <dcterms:created xsi:type="dcterms:W3CDTF">2026-10-27T18:24:11Z</dcterms:created>
  <dcterms:modified xsi:type="dcterms:W3CDTF">2026-10-27T18:24:11Z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