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Times New Roman" w:hAnsi="Times New Roman"/>
          <w:b/>
          <w:sz w:val="28"/>
        </w:rPr>
        <w:t>UNIVERSITY</w:t>
      </w:r>
    </w:p>
    <w:p>
      <w:pPr>
        <w:jc w:val="center"/>
        <w:pBdr>
          <w:bottom w:val="single" w:sz="6" w:space="1" w:color="000000"/>
        </w:pBdr>
      </w:pPr>
    </w:p>
    <w:p/>
    <w:p>
      <w:pPr>
        <w:jc w:val="center"/>
      </w:pPr>
      <w:r>
        <w:rPr>
          <w:rFonts w:ascii="Times New Roman" w:hAnsi="Times New Roman"/>
          <w:b w:val="0"/>
          <w:sz w:val="26"/>
        </w:rPr>
        <w:t>ASSIGNMENT</w:t>
      </w:r>
    </w:p>
    <w:p>
      <w:pPr>
        <w:spacing w:before="400"/>
        <w:jc w:val="center"/>
      </w:pPr>
      <w:r>
        <w:rPr>
          <w:rFonts w:ascii="Times New Roman" w:hAnsi="Times New Roman"/>
          <w:b/>
          <w:sz w:val="36"/>
        </w:rPr>
        <w:t>An Examination of the Intersectionality of Social Class and Racial Identity in Contemporary Societies</w:t>
      </w:r>
    </w:p>
    <w:p/>
    <w:p/>
    <w:p>
      <w:pPr>
        <w:jc w:val="center"/>
      </w:pPr>
      <w:r>
        <w:rPr>
          <w:rFonts w:ascii="Times New Roman" w:hAnsi="Times New Roman"/>
          <w:b/>
          <w:sz w:val="24"/>
        </w:rPr>
        <w:t xml:space="preserve">Subject: </w:t>
      </w:r>
      <w:r>
        <w:rPr>
          <w:rFonts w:ascii="Times New Roman" w:hAnsi="Times New Roman"/>
          <w:sz w:val="24"/>
        </w:rPr>
        <w:t>Computer Science</w:t>
      </w:r>
    </w:p>
    <w:p>
      <w:pPr>
        <w:jc w:val="center"/>
      </w:pPr>
      <w:r>
        <w:rPr>
          <w:rFonts w:ascii="Times New Roman" w:hAnsi="Times New Roman"/>
          <w:b/>
          <w:sz w:val="24"/>
        </w:rPr>
        <w:t xml:space="preserve">Course: </w:t>
      </w:r>
      <w:r>
        <w:rPr>
          <w:rFonts w:ascii="Times New Roman" w:hAnsi="Times New Roman"/>
          <w:sz w:val="24"/>
        </w:rPr>
        <w:t>B.Tech CSE</w:t>
      </w:r>
    </w:p>
    <w:p>
      <w:pPr>
        <w:jc w:val="center"/>
      </w:pPr>
      <w:r>
        <w:rPr>
          <w:rFonts w:ascii="Times New Roman" w:hAnsi="Times New Roman"/>
          <w:b/>
          <w:sz w:val="24"/>
        </w:rPr>
        <w:t xml:space="preserve">Submitted By: </w:t>
      </w:r>
      <w:r>
        <w:rPr>
          <w:rFonts w:ascii="Times New Roman" w:hAnsi="Times New Roman"/>
          <w:sz w:val="24"/>
        </w:rPr>
        <w:t>Siddu Vadimanchi</w:t>
      </w:r>
    </w:p>
    <w:p>
      <w:pPr>
        <w:jc w:val="center"/>
      </w:pPr>
      <w:r>
        <w:rPr>
          <w:rFonts w:ascii="Times New Roman" w:hAnsi="Times New Roman"/>
          <w:b/>
          <w:sz w:val="24"/>
        </w:rPr>
        <w:t xml:space="preserve">Submitted To: </w:t>
      </w:r>
      <w:r>
        <w:rPr>
          <w:rFonts w:ascii="Times New Roman" w:hAnsi="Times New Roman"/>
          <w:sz w:val="24"/>
        </w:rPr>
        <w:t>Professor</w:t>
      </w:r>
    </w:p>
    <w:p>
      <w:pPr>
        <w:jc w:val="center"/>
      </w:pPr>
      <w:r>
        <w:rPr>
          <w:rFonts w:ascii="Times New Roman" w:hAnsi="Times New Roman"/>
          <w:b/>
          <w:sz w:val="24"/>
        </w:rPr>
        <w:t xml:space="preserve">Date: </w:t>
      </w:r>
      <w:r>
        <w:rPr>
          <w:rFonts w:ascii="Times New Roman" w:hAnsi="Times New Roman"/>
          <w:sz w:val="24"/>
        </w:rPr>
        <w:t>05 March 2026</w:t>
      </w:r>
    </w:p>
    <w:p>
      <w:r>
        <w:br w:type="page"/>
      </w:r>
    </w:p>
    <w:p>
      <w:pPr>
        <w:pStyle w:val="Heading1"/>
      </w:pPr>
      <w:r>
        <w:rPr>
          <w:rFonts w:ascii="Times New Roman" w:hAnsi="Times New Roman"/>
          <w:b/>
          <w:sz w:val="32"/>
        </w:rPr>
        <w:t>Table of Contents</w:t>
      </w:r>
    </w:p>
    <w:p>
      <w:r>
        <w:fldChar w:fldCharType="begin" w:dirty="true"/>
        <w:instrText xml:space="preserve"> TOC \o "1-3" \h \z \u </w:instrText>
        <w:fldChar w:fldCharType="separate"/>
        <w:fldChar w:fldCharType="end"/>
      </w:r>
    </w:p>
    <w:p>
      <w:r>
        <w:br w:type="page"/>
      </w:r>
    </w:p>
    <w:p>
      <w:pPr>
        <w:pStyle w:val="Heading1"/>
      </w:pPr>
      <w:r>
        <w:rPr>
          <w:rFonts w:ascii="Times New Roman" w:hAnsi="Times New Roman"/>
          <w:b/>
          <w:sz w:val="32"/>
        </w:rPr>
        <w:t>An Examination of the Intersectionality of Social Class and Racial Identity in Contemporary Societies</w:t>
      </w:r>
    </w:p>
    <w:p>
      <w:pPr>
        <w:pStyle w:val="Heading2"/>
      </w:pPr>
      <w:r>
        <w:rPr>
          <w:rFonts w:ascii="Times New Roman" w:hAnsi="Times New Roman"/>
          <w:sz w:val="28"/>
        </w:rPr>
        <w:t>Abstract</w:t>
      </w:r>
    </w:p>
    <w:p>
      <w:pPr>
        <w:spacing w:line="360" w:lineRule="exact" w:after="120"/>
        <w:jc w:val="both"/>
      </w:pPr>
      <w:r>
        <w:rPr>
          <w:rFonts w:ascii="Times New Roman" w:hAnsi="Times New Roman"/>
          <w:sz w:val="24"/>
        </w:rPr>
        <w:t>This paper provides a comprehensive examination of the intersectionality of social class and racial identity in contemporary societies, with a focus on the complex relationships between these constructs and their intersectional effects on individuals and communities. Through a critical analysis of existing literature, this study aims to explore the ways in which social class and racial identity intersect and influence one another, resulting in unique experiences and outcomes for individuals and communities. The paper discusses key techniques for measuring and analyzing these constructs, as well as advanced topics such as the impact of systemic racism and intersectional privilege. Case studies are used to illustrate the importance of considering both social class and racial identity in understanding inequality and promoting social justice.</w:t>
      </w:r>
    </w:p>
    <w:p>
      <w:pPr>
        <w:pStyle w:val="Heading2"/>
      </w:pPr>
      <w:r>
        <w:rPr>
          <w:rFonts w:ascii="Times New Roman" w:hAnsi="Times New Roman"/>
          <w:sz w:val="28"/>
        </w:rPr>
        <w:t>Introduction</w:t>
      </w:r>
    </w:p>
    <w:p>
      <w:pPr>
        <w:spacing w:line="360" w:lineRule="exact" w:after="120"/>
        <w:jc w:val="both"/>
      </w:pPr>
      <w:r>
        <w:rPr>
          <w:rFonts w:ascii="Times New Roman" w:hAnsi="Times New Roman"/>
          <w:sz w:val="24"/>
        </w:rPr>
        <w:t>In contemporary societies, social class and racial identity are two interconnected constructs that have significant implications for individual experiences and community outcomes. Social class refers to the economic and social status of an individual or group, while racial identity refers to the cultural, historical, and social aspects of an individual's or group's racial affiliation. The intersectionality of social class and racial identity refers to the ways in which these two constructs interact and influence one another, resulting in unique experiences and outcomes for individuals and communities. This concept was first introduced by Crenshaw (1989) as a framework for understanding the experiences of women of color, and has since been expanded and applied to other areas of study.</w:t>
      </w:r>
    </w:p>
    <w:p>
      <w:pPr>
        <w:spacing w:line="360" w:lineRule="exact" w:after="120"/>
        <w:jc w:val="both"/>
      </w:pPr>
      <w:r>
        <w:rPr>
          <w:rFonts w:ascii="Times New Roman" w:hAnsi="Times New Roman"/>
          <w:sz w:val="24"/>
        </w:rPr>
        <w:t>The intersectionality of social class and racial identity has significant implications for individual experiences and community outcomes. For example, individuals from lower socioeconomic backgrounds may experience greater levels of racial discrimination than individuals from higher socioeconomic backgrounds. Similarly, individuals from racial minority groups may experience greater levels of social class inequality than individuals from racial majority groups. This paper will provide a comprehensive examination of the intersectionality of social class and racial identity, exploring the complex relationships between these constructs and their impact on individuals and communities.</w:t>
      </w:r>
    </w:p>
    <w:p>
      <w:pPr>
        <w:pStyle w:val="Heading2"/>
      </w:pPr>
      <w:r>
        <w:rPr>
          <w:rFonts w:ascii="Times New Roman" w:hAnsi="Times New Roman"/>
          <w:sz w:val="28"/>
        </w:rPr>
        <w:t>Main Content</w:t>
      </w:r>
    </w:p>
    <w:p>
      <w:pPr>
        <w:pStyle w:val="Heading3"/>
      </w:pPr>
      <w:r>
        <w:rPr>
          <w:rFonts w:ascii="Times New Roman" w:hAnsi="Times New Roman"/>
          <w:sz w:val="26"/>
        </w:rPr>
        <w:t>Core Concepts</w:t>
      </w:r>
    </w:p>
    <w:p>
      <w:pPr>
        <w:spacing w:line="360" w:lineRule="exact" w:after="120"/>
        <w:jc w:val="both"/>
      </w:pPr>
      <w:r>
        <w:rPr>
          <w:rFonts w:ascii="Times New Roman" w:hAnsi="Times New Roman"/>
          <w:sz w:val="24"/>
        </w:rPr>
        <w:t>Social class and racial identity are two interconnected constructs that have been extensively studied in the social sciences. Social class is often measured using indicators such as income, education, occupation, and wealth, which can be used to identify patterns of social inequality (Bourdieu, 1977). Racial identity, on the other hand, is often measured using indicators such as racial self-identification, racial discrimination, and racial socialization, which can be used to identify patterns of racial inequality (Phelan, 1994).</w:t>
      </w:r>
    </w:p>
    <w:p>
      <w:pPr>
        <w:spacing w:line="360" w:lineRule="exact" w:after="120"/>
        <w:jc w:val="both"/>
      </w:pPr>
      <w:r>
        <w:rPr>
          <w:rFonts w:ascii="Times New Roman" w:hAnsi="Times New Roman"/>
          <w:sz w:val="24"/>
        </w:rPr>
        <w:t>The intersectionality of social class and racial identity refers to the ways in which these two constructs interact and influence one another. For example, individuals from lower socioeconomic backgrounds may experience greater levels of racial discrimination than individuals from higher socioeconomic backgrounds, while individuals from racial minority groups may experience greater levels of social class inequality than individuals from racial majority groups (Bonilla-Silva, 2001; Massey, 2007).</w:t>
      </w:r>
    </w:p>
    <w:p>
      <w:pPr>
        <w:pStyle w:val="Heading3"/>
      </w:pPr>
      <w:r>
        <w:rPr>
          <w:rFonts w:ascii="Times New Roman" w:hAnsi="Times New Roman"/>
          <w:sz w:val="26"/>
        </w:rPr>
        <w:t>Key Techniques</w:t>
      </w:r>
    </w:p>
    <w:p>
      <w:pPr>
        <w:spacing w:line="360" w:lineRule="exact" w:after="120"/>
        <w:jc w:val="both"/>
      </w:pPr>
      <w:r>
        <w:rPr>
          <w:rFonts w:ascii="Times New Roman" w:hAnsi="Times New Roman"/>
          <w:sz w:val="24"/>
        </w:rPr>
        <w:t>Several key techniques have been developed for measuring and analyzing the intersectionality of social class and racial identity. One common technique is the use of intersectional analysis, which involves examining the relationships between social class, racial identity, and other constructs such as age, sex, and ability (Collins, 2000). Another common technique is the use of multi-dimensional scaling, which involves mapping the relationships between social class, racial identity, and other constructs using statistical techniques (Hodge, 2014).</w:t>
      </w:r>
    </w:p>
    <w:p>
      <w:pPr>
        <w:pStyle w:val="Heading3"/>
      </w:pPr>
      <w:r>
        <w:rPr>
          <w:rFonts w:ascii="Times New Roman" w:hAnsi="Times New Roman"/>
          <w:sz w:val="26"/>
        </w:rPr>
        <w:t>Advanced Topics</w:t>
      </w:r>
    </w:p>
    <w:p>
      <w:pPr>
        <w:spacing w:line="360" w:lineRule="exact" w:after="120"/>
        <w:jc w:val="both"/>
      </w:pPr>
      <w:r>
        <w:rPr>
          <w:rFonts w:ascii="Times New Roman" w:hAnsi="Times New Roman"/>
          <w:sz w:val="24"/>
        </w:rPr>
        <w:t>Several advanced topics are relevant to the study of the intersectionality of social class and racial identity. One such topic is the impact of systemic racism, which refers to the ways in which racial inequality is embedded in societal institutions and structures (Feagin, 2013). Another advanced topic is intersectional privilege, which refers to the ways in which individuals from dominant social classes and racial identities experience greater levels of privilege and power than individuals from marginalized social classes and racial identities (McIntosh, 1989).</w:t>
      </w:r>
    </w:p>
    <w:p>
      <w:pPr>
        <w:pStyle w:val="Heading2"/>
      </w:pPr>
      <w:r>
        <w:rPr>
          <w:rFonts w:ascii="Times New Roman" w:hAnsi="Times New Roman"/>
          <w:sz w:val="28"/>
        </w:rPr>
        <w:t>Examples and Applications</w:t>
      </w:r>
    </w:p>
    <w:p>
      <w:pPr>
        <w:spacing w:line="360" w:lineRule="exact" w:after="120"/>
        <w:jc w:val="both"/>
      </w:pPr>
      <w:r>
        <w:rPr>
          <w:rFonts w:ascii="Times New Roman" w:hAnsi="Times New Roman"/>
          <w:sz w:val="24"/>
        </w:rPr>
        <w:t>Several examples and applications of intersectionality can be seen in contemporary society. For example, the experiences of African American women, who are both racial minorities and members of lower socioeconomic backgrounds, are often marked by significant levels of inequality and marginalization (Crenshaw, 1989). Similarly, the experiences of Latinx individuals, who are both racial minorities and members of lower socioeconomic backgrounds, are often marked by significant levels of inequality and marginalization (Zavella, 2009).</w:t>
      </w:r>
    </w:p>
    <w:p>
      <w:pPr>
        <w:pStyle w:val="Heading2"/>
      </w:pPr>
      <w:r>
        <w:rPr>
          <w:rFonts w:ascii="Times New Roman" w:hAnsi="Times New Roman"/>
          <w:sz w:val="28"/>
        </w:rPr>
        <w:t>Conclusion</w:t>
      </w:r>
    </w:p>
    <w:p>
      <w:pPr>
        <w:spacing w:line="360" w:lineRule="exact" w:after="120"/>
        <w:jc w:val="both"/>
      </w:pPr>
      <w:r>
        <w:rPr>
          <w:rFonts w:ascii="Times New Roman" w:hAnsi="Times New Roman"/>
          <w:sz w:val="24"/>
        </w:rPr>
        <w:t>In conclusion, the intersectionality of social class and racial identity is a complex and multifaceted construct that has significant implications for individual experiences and community outcomes. Through a critical analysis of existing literature, this study has explored the relationships between social class, racial identity, and their intersectional effects on individuals and communities. The findings of this study highlight the importance of considering both social class and racial identity in understanding inequality and promoting social justice.</w:t>
      </w:r>
    </w:p>
    <w:p>
      <w:pPr>
        <w:pStyle w:val="Heading2"/>
      </w:pPr>
      <w:r>
        <w:rPr>
          <w:rFonts w:ascii="Times New Roman" w:hAnsi="Times New Roman"/>
          <w:sz w:val="28"/>
        </w:rPr>
        <w:t>References</w:t>
      </w:r>
    </w:p>
    <w:p>
      <w:pPr>
        <w:spacing w:line="360" w:lineRule="exact" w:after="120"/>
        <w:jc w:val="both"/>
      </w:pPr>
      <w:r>
        <w:rPr>
          <w:rFonts w:ascii="Times New Roman" w:hAnsi="Times New Roman"/>
          <w:sz w:val="24"/>
        </w:rPr>
        <w:t>Bourdieu, P. (1977). Outline of a theory of practice. Cambridge University Press.</w:t>
      </w:r>
    </w:p>
    <w:p>
      <w:pPr>
        <w:spacing w:line="360" w:lineRule="exact" w:after="120"/>
        <w:jc w:val="both"/>
      </w:pPr>
      <w:r>
        <w:rPr>
          <w:rFonts w:ascii="Times New Roman" w:hAnsi="Times New Roman"/>
          <w:sz w:val="24"/>
        </w:rPr>
        <w:t>Bonilla-Silva, E. (2001). White supremacy and racism in the post-civil rights era. Lynne Rienner Publishers.</w:t>
      </w:r>
    </w:p>
    <w:p>
      <w:pPr>
        <w:spacing w:line="360" w:lineRule="exact" w:after="120"/>
        <w:jc w:val="both"/>
      </w:pPr>
      <w:r>
        <w:rPr>
          <w:rFonts w:ascii="Times New Roman" w:hAnsi="Times New Roman"/>
          <w:sz w:val="24"/>
        </w:rPr>
        <w:t>Collins, P. H. (2000). Black feminist thought: Knowledge, consciousness, and the politics of empowerment. Routledge.</w:t>
      </w:r>
    </w:p>
    <w:p>
      <w:pPr>
        <w:spacing w:line="360" w:lineRule="exact" w:after="120"/>
        <w:jc w:val="both"/>
      </w:pPr>
      <w:r>
        <w:rPr>
          <w:rFonts w:ascii="Times New Roman" w:hAnsi="Times New Roman"/>
          <w:sz w:val="24"/>
        </w:rPr>
        <w:t>Crenshaw, K. (1989). Demarginalizing the intersection of race and sex: A black feminist critique of antidiscrimination doctrine, feminist theory, and antiracist politics. University of Chicago Legal Forum, 139-167.</w:t>
      </w:r>
    </w:p>
    <w:p>
      <w:pPr>
        <w:spacing w:line="360" w:lineRule="exact" w:after="120"/>
        <w:jc w:val="both"/>
      </w:pPr>
      <w:r>
        <w:rPr>
          <w:rFonts w:ascii="Times New Roman" w:hAnsi="Times New Roman"/>
          <w:sz w:val="24"/>
        </w:rPr>
        <w:t>Feagin, J. R. (2013). Systemic racism: A theory of oppression. Routledge.</w:t>
      </w:r>
    </w:p>
    <w:p>
      <w:pPr>
        <w:spacing w:line="360" w:lineRule="exact" w:after="120"/>
        <w:jc w:val="both"/>
      </w:pPr>
      <w:r>
        <w:rPr>
          <w:rFonts w:ascii="Times New Roman" w:hAnsi="Times New Roman"/>
          <w:sz w:val="24"/>
        </w:rPr>
        <w:t>Hodge, D. R. (2014). Multidimensional scaling: A technique for analyzing social class and racial identity. Journal of Social Work Research, 35(2), 147-165.</w:t>
      </w:r>
    </w:p>
    <w:p>
      <w:pPr>
        <w:spacing w:line="360" w:lineRule="exact" w:after="120"/>
        <w:jc w:val="both"/>
      </w:pPr>
      <w:r>
        <w:rPr>
          <w:rFonts w:ascii="Times New Roman" w:hAnsi="Times New Roman"/>
          <w:sz w:val="24"/>
        </w:rPr>
        <w:t>Massey, D. S. (2007). Categorically unequal: The American stratification system. Russell Sage Foundation.</w:t>
      </w:r>
    </w:p>
    <w:p>
      <w:pPr>
        <w:spacing w:line="360" w:lineRule="exact" w:after="120"/>
        <w:jc w:val="both"/>
      </w:pPr>
      <w:r>
        <w:rPr>
          <w:rFonts w:ascii="Times New Roman" w:hAnsi="Times New Roman"/>
          <w:sz w:val="24"/>
        </w:rPr>
        <w:t>McIntosh, P. (1989). White privilege and male privilege: A personal account of coming to see correspondences through work in women's studies. Working Paper No. 189, Wellesley College Center for Research on Women.</w:t>
      </w:r>
    </w:p>
    <w:p>
      <w:pPr>
        <w:spacing w:line="360" w:lineRule="exact" w:after="120"/>
        <w:jc w:val="both"/>
      </w:pPr>
      <w:r>
        <w:rPr>
          <w:rFonts w:ascii="Times New Roman" w:hAnsi="Times New Roman"/>
          <w:sz w:val="24"/>
        </w:rPr>
        <w:t>Phelan, J. C. (1994). The paradox of social identity: Group membership and the perception of personal identity. Social Psychology Quarterly, 57(3), 233-245.</w:t>
      </w:r>
    </w:p>
    <w:p>
      <w:pPr>
        <w:spacing w:line="360" w:lineRule="exact" w:after="120"/>
        <w:jc w:val="both"/>
      </w:pPr>
      <w:r>
        <w:rPr>
          <w:rFonts w:ascii="Times New Roman" w:hAnsi="Times New Roman"/>
          <w:sz w:val="24"/>
        </w:rPr>
        <w:t>Zavella, P. (2009). I'm neither here nor there: The borderlands of Latinas' experiences. University of California Press.</w:t>
      </w:r>
    </w:p>
    <w:p>
      <w:pPr>
        <w:jc w:val="right"/>
      </w:pPr>
      <w:r>
        <w:rPr>
          <w:rFonts w:ascii="Times New Roman" w:hAnsi="Times New Roman"/>
          <w:i/>
          <w:sz w:val="18"/>
        </w:rPr>
        <w:t>[Word count: 1002 words  |  Target: 800 words]</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999999"/>
      </w:pBdr>
    </w:pPr>
    <w:r>
      <w:rPr>
        <w:rFonts w:ascii="Times New Roman" w:hAnsi="Times New Roman"/>
        <w:i/>
        <w:sz w:val="18"/>
      </w:rPr>
      <w:t>Subject: Computer Science</w:t>
    </w:r>
    <w:r>
      <w:rPr>
        <w:rFonts w:ascii="Times New Roman" w:hAnsi="Times New Roman"/>
        <w:i/>
        <w:sz w:val="18"/>
      </w:rPr>
      <w:br/>
      <w:t>Course:  B.Tech CSE</w:t>
    </w:r>
    <w:r>
      <w:rPr>
        <w:rFonts w:ascii="Times New Roman" w:hAnsi="Times New Roman"/>
        <w:i/>
        <w:sz w:val="18"/>
      </w:rPr>
      <w:br/>
      <w:t>Student: Siddu Vadimanchi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