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sz w:val="28"/>
        </w:rPr>
        <w:t>UNIVERSITY</w:t>
      </w:r>
    </w:p>
    <w:p>
      <w:pPr>
        <w:jc w:val="center"/>
        <w:pBdr>
          <w:bottom w:val="single" w:sz="6" w:space="1" w:color="000000"/>
        </w:pBdr>
      </w:pPr>
    </w:p>
    <w:p/>
    <w:p>
      <w:pPr>
        <w:jc w:val="center"/>
      </w:pPr>
      <w:r>
        <w:rPr>
          <w:rFonts w:ascii="Times New Roman" w:hAnsi="Times New Roman"/>
          <w:b w:val="0"/>
          <w:sz w:val="26"/>
        </w:rPr>
        <w:t>ASSIGNMENT</w:t>
      </w:r>
    </w:p>
    <w:p>
      <w:pPr>
        <w:spacing w:before="400"/>
        <w:jc w:val="center"/>
      </w:pPr>
      <w:r>
        <w:rPr>
          <w:rFonts w:ascii="Times New Roman" w:hAnsi="Times New Roman"/>
          <w:b/>
          <w:sz w:val="36"/>
        </w:rPr>
        <w:t>A Critical Examination of the Impact of College Assignments on Student Learning Outcomes</w:t>
      </w:r>
    </w:p>
    <w:p/>
    <w:p/>
    <w:p>
      <w:pPr>
        <w:jc w:val="center"/>
      </w:pPr>
      <w:r>
        <w:rPr>
          <w:rFonts w:ascii="Times New Roman" w:hAnsi="Times New Roman"/>
          <w:b/>
          <w:sz w:val="24"/>
        </w:rPr>
        <w:t xml:space="preserve">Subject: </w:t>
      </w:r>
      <w:r>
        <w:rPr>
          <w:rFonts w:ascii="Times New Roman" w:hAnsi="Times New Roman"/>
          <w:sz w:val="24"/>
        </w:rPr>
        <w:t>Computer Science</w:t>
      </w:r>
    </w:p>
    <w:p>
      <w:pPr>
        <w:jc w:val="center"/>
      </w:pPr>
      <w:r>
        <w:rPr>
          <w:rFonts w:ascii="Times New Roman" w:hAnsi="Times New Roman"/>
          <w:b/>
          <w:sz w:val="24"/>
        </w:rPr>
        <w:t xml:space="preserve">Course: </w:t>
      </w:r>
      <w:r>
        <w:rPr>
          <w:rFonts w:ascii="Times New Roman" w:hAnsi="Times New Roman"/>
          <w:sz w:val="24"/>
        </w:rPr>
        <w:t>B.Tech CSE</w:t>
      </w:r>
    </w:p>
    <w:p>
      <w:pPr>
        <w:jc w:val="center"/>
      </w:pPr>
      <w:r>
        <w:rPr>
          <w:rFonts w:ascii="Times New Roman" w:hAnsi="Times New Roman"/>
          <w:b/>
          <w:sz w:val="24"/>
        </w:rPr>
        <w:t xml:space="preserve">Submitted By: </w:t>
      </w:r>
      <w:r>
        <w:rPr>
          <w:rFonts w:ascii="Times New Roman" w:hAnsi="Times New Roman"/>
          <w:sz w:val="24"/>
        </w:rPr>
        <w:t>Siddu Vadimanchi</w:t>
      </w:r>
    </w:p>
    <w:p>
      <w:pPr>
        <w:jc w:val="center"/>
      </w:pPr>
      <w:r>
        <w:rPr>
          <w:rFonts w:ascii="Times New Roman" w:hAnsi="Times New Roman"/>
          <w:b/>
          <w:sz w:val="24"/>
        </w:rPr>
        <w:t xml:space="preserve">Submitted To: </w:t>
      </w:r>
      <w:r>
        <w:rPr>
          <w:rFonts w:ascii="Times New Roman" w:hAnsi="Times New Roman"/>
          <w:sz w:val="24"/>
        </w:rPr>
        <w:t>Professor</w:t>
      </w:r>
    </w:p>
    <w:p>
      <w:pPr>
        <w:jc w:val="center"/>
      </w:pPr>
      <w:r>
        <w:rPr>
          <w:rFonts w:ascii="Times New Roman" w:hAnsi="Times New Roman"/>
          <w:b/>
          <w:sz w:val="24"/>
        </w:rPr>
        <w:t xml:space="preserve">Date: </w:t>
      </w:r>
      <w:r>
        <w:rPr>
          <w:rFonts w:ascii="Times New Roman" w:hAnsi="Times New Roman"/>
          <w:sz w:val="24"/>
        </w:rPr>
        <w:t>06 March 2026</w:t>
      </w:r>
    </w:p>
    <w:p>
      <w:r>
        <w:br w:type="page"/>
      </w:r>
    </w:p>
    <w:p>
      <w:pPr>
        <w:pStyle w:val="Heading1"/>
      </w:pPr>
      <w:r>
        <w:rPr>
          <w:rFonts w:ascii="Times New Roman" w:hAnsi="Times New Roman"/>
          <w:b/>
          <w:sz w:val="32"/>
        </w:rPr>
        <w:t>Table of Contents</w:t>
      </w:r>
    </w:p>
    <w:p>
      <w:r>
        <w:fldChar w:fldCharType="begin" w:dirty="true"/>
        <w:instrText xml:space="preserve"> TOC \o "1-3" \h \z \u </w:instrText>
        <w:fldChar w:fldCharType="separate"/>
        <w:fldChar w:fldCharType="end"/>
      </w:r>
    </w:p>
    <w:p>
      <w:r>
        <w:br w:type="page"/>
      </w:r>
    </w:p>
    <w:p>
      <w:pPr>
        <w:pStyle w:val="Heading1"/>
      </w:pPr>
      <w:r>
        <w:rPr>
          <w:rFonts w:ascii="Times New Roman" w:hAnsi="Times New Roman"/>
          <w:b/>
          <w:sz w:val="32"/>
        </w:rPr>
        <w:t>A Critical Examination of the Impact of College Assignments on Student Learning Outcomes</w:t>
      </w:r>
    </w:p>
    <w:p>
      <w:pPr>
        <w:pStyle w:val="Heading2"/>
      </w:pPr>
      <w:r>
        <w:rPr>
          <w:rFonts w:ascii="Times New Roman" w:hAnsi="Times New Roman"/>
          <w:sz w:val="28"/>
        </w:rPr>
        <w:t>Abstract</w:t>
      </w:r>
    </w:p>
    <w:p>
      <w:pPr>
        <w:spacing w:line="360" w:lineRule="exact" w:after="120"/>
        <w:jc w:val="both"/>
      </w:pPr>
      <w:r>
        <w:rPr>
          <w:rFonts w:ascii="Times New Roman" w:hAnsi="Times New Roman"/>
          <w:sz w:val="24"/>
        </w:rPr>
        <w:t>This study aims to provide a critical examination of the impact of college assignments on student learning outcomes. Through a comprehensive review of existing literature, this paper explores the relationship between college assignments and student achievement, and identifies key concepts, techniques, and applications that educators can utilize to enhance student learning. The findings of this study suggest that college assignments play a crucial role in fostering student engagement, critical thinking, and academic success.</w:t>
      </w:r>
    </w:p>
    <w:p>
      <w:pPr>
        <w:pStyle w:val="Heading2"/>
      </w:pPr>
      <w:r>
        <w:rPr>
          <w:rFonts w:ascii="Times New Roman" w:hAnsi="Times New Roman"/>
          <w:sz w:val="28"/>
        </w:rPr>
        <w:t>Introduction</w:t>
      </w:r>
    </w:p>
    <w:p>
      <w:pPr>
        <w:spacing w:line="360" w:lineRule="exact" w:after="120"/>
        <w:jc w:val="both"/>
      </w:pPr>
      <w:r>
        <w:rPr>
          <w:rFonts w:ascii="Times New Roman" w:hAnsi="Times New Roman"/>
          <w:sz w:val="24"/>
        </w:rPr>
        <w:t>College assignments are a ubiquitous feature of higher education, serving as a primary means of assessing student learning and promoting academic achievement. However, the impact of college assignments on student learning outcomes is a complex and multifaceted issue, with varying degrees of effectiveness depending on the type, design, and implementation of assignments. This study seeks to contribute to the existing literature by exploring the core concepts, key techniques, and advanced topics related to college assignments, and examining their implications for student learning outcomes.</w:t>
      </w:r>
    </w:p>
    <w:p>
      <w:pPr>
        <w:pStyle w:val="Heading2"/>
      </w:pPr>
      <w:r>
        <w:rPr>
          <w:rFonts w:ascii="Times New Roman" w:hAnsi="Times New Roman"/>
          <w:sz w:val="28"/>
        </w:rPr>
        <w:t>Main Content</w:t>
      </w:r>
    </w:p>
    <w:p>
      <w:pPr>
        <w:pStyle w:val="Heading3"/>
      </w:pPr>
      <w:r>
        <w:rPr>
          <w:rFonts w:ascii="Times New Roman" w:hAnsi="Times New Roman"/>
          <w:sz w:val="26"/>
        </w:rPr>
        <w:t>Core Concepts</w:t>
      </w:r>
    </w:p>
    <w:p>
      <w:pPr>
        <w:spacing w:line="360" w:lineRule="exact" w:after="120"/>
        <w:jc w:val="both"/>
      </w:pPr>
      <w:r>
        <w:rPr>
          <w:rFonts w:ascii="Times New Roman" w:hAnsi="Times New Roman"/>
          <w:sz w:val="24"/>
        </w:rPr>
        <w:t>College assignments are a fundamental component of higher education, serving as a means of promoting student learning, engagement, and academic success. Several core concepts underlie the design and implementation of college assignments, including:</w:t>
      </w:r>
    </w:p>
    <w:p>
      <w:pPr>
        <w:pStyle w:val="ListBullet"/>
      </w:pPr>
      <w:r>
        <w:rPr>
          <w:rFonts w:ascii="Times New Roman" w:hAnsi="Times New Roman"/>
          <w:sz w:val="24"/>
        </w:rPr>
        <w:t>**Authenticity**: Assignments that are relevant, meaningful, and reflective of real-world scenarios are more likely to engage students and promote deep learning (Garrison &amp; Arbaugh, 2007).</w:t>
      </w:r>
    </w:p>
    <w:p>
      <w:pPr>
        <w:pStyle w:val="ListBullet"/>
      </w:pPr>
      <w:r>
        <w:rPr>
          <w:rFonts w:ascii="Times New Roman" w:hAnsi="Times New Roman"/>
          <w:sz w:val="24"/>
        </w:rPr>
        <w:t>**Contextualization**: Assignments that take into account the learners' prior knowledge, experiences, and cultural backgrounds can enhance student engagement and motivation (Lave &amp; Wenger, 1991).</w:t>
      </w:r>
    </w:p>
    <w:p>
      <w:pPr>
        <w:pStyle w:val="ListBullet"/>
      </w:pPr>
      <w:r>
        <w:rPr>
          <w:rFonts w:ascii="Times New Roman" w:hAnsi="Times New Roman"/>
          <w:sz w:val="24"/>
        </w:rPr>
        <w:t>**Feedback**: High-quality feedback is essential for promoting student learning, as it enables students to reflect on their performance, identify areas for improvement, and develop a growth mindset (Hattie &amp; Timperley, 2007).</w:t>
      </w:r>
    </w:p>
    <w:p>
      <w:pPr>
        <w:pStyle w:val="Heading3"/>
      </w:pPr>
      <w:r>
        <w:rPr>
          <w:rFonts w:ascii="Times New Roman" w:hAnsi="Times New Roman"/>
          <w:sz w:val="26"/>
        </w:rPr>
        <w:t>Key Techniques</w:t>
      </w:r>
    </w:p>
    <w:p>
      <w:pPr>
        <w:spacing w:line="360" w:lineRule="exact" w:after="120"/>
        <w:jc w:val="both"/>
      </w:pPr>
      <w:r>
        <w:rPr>
          <w:rFonts w:ascii="Times New Roman" w:hAnsi="Times New Roman"/>
          <w:sz w:val="24"/>
        </w:rPr>
        <w:t>Several key techniques are employed in the design and implementation of college assignments, including:</w:t>
      </w:r>
    </w:p>
    <w:p>
      <w:pPr>
        <w:pStyle w:val="ListBullet"/>
      </w:pPr>
      <w:r>
        <w:rPr>
          <w:rFonts w:ascii="Times New Roman" w:hAnsi="Times New Roman"/>
          <w:sz w:val="24"/>
        </w:rPr>
        <w:t>**Project-based learning**: Assignments that involve students in real-world projects or simulations can promote deep learning, critical thinking, and problem-solving skills (Thomas, 2000).</w:t>
      </w:r>
    </w:p>
    <w:p>
      <w:pPr>
        <w:pStyle w:val="ListBullet"/>
      </w:pPr>
      <w:r>
        <w:rPr>
          <w:rFonts w:ascii="Times New Roman" w:hAnsi="Times New Roman"/>
          <w:sz w:val="24"/>
        </w:rPr>
        <w:t>**Collaborative learning**: Assignments that require students to work in groups or teams can foster teamwork, communication, and social skills (Johnson &amp; Johnson, 2009).</w:t>
      </w:r>
    </w:p>
    <w:p>
      <w:pPr>
        <w:pStyle w:val="ListBullet"/>
      </w:pPr>
      <w:r>
        <w:rPr>
          <w:rFonts w:ascii="Times New Roman" w:hAnsi="Times New Roman"/>
          <w:sz w:val="24"/>
        </w:rPr>
        <w:t>**Reflective practice**: Assignments that require students to reflect on their learning, set goals, and identify areas for improvement can promote metacognition and self-directed learning (Boud, 2001).</w:t>
      </w:r>
    </w:p>
    <w:p>
      <w:pPr>
        <w:pStyle w:val="Heading3"/>
      </w:pPr>
      <w:r>
        <w:rPr>
          <w:rFonts w:ascii="Times New Roman" w:hAnsi="Times New Roman"/>
          <w:sz w:val="26"/>
        </w:rPr>
        <w:t>Advanced Topics</w:t>
      </w:r>
    </w:p>
    <w:p>
      <w:pPr>
        <w:spacing w:line="360" w:lineRule="exact" w:after="120"/>
        <w:jc w:val="both"/>
      </w:pPr>
      <w:r>
        <w:rPr>
          <w:rFonts w:ascii="Times New Roman" w:hAnsi="Times New Roman"/>
          <w:sz w:val="24"/>
        </w:rPr>
        <w:t>Several advanced topics related to college assignments warrant further exploration, including:</w:t>
      </w:r>
    </w:p>
    <w:p>
      <w:pPr>
        <w:pStyle w:val="ListBullet"/>
      </w:pPr>
      <w:r>
        <w:rPr>
          <w:rFonts w:ascii="Times New Roman" w:hAnsi="Times New Roman"/>
          <w:sz w:val="24"/>
        </w:rPr>
        <w:t>**Gamification**: The use of game design elements and mechanics in assignments can promote student engagement, motivation, and learning (Dichev &amp; Dicheva, 2017).</w:t>
      </w:r>
    </w:p>
    <w:p>
      <w:pPr>
        <w:pStyle w:val="ListBullet"/>
      </w:pPr>
      <w:r>
        <w:rPr>
          <w:rFonts w:ascii="Times New Roman" w:hAnsi="Times New Roman"/>
          <w:sz w:val="24"/>
        </w:rPr>
        <w:t>**Technology-enhanced learning**: The use of digital tools and platforms in assignments can enhance student learning, engagement, and collaboration (Rovai, 2002).</w:t>
      </w:r>
    </w:p>
    <w:p>
      <w:pPr>
        <w:pStyle w:val="ListBullet"/>
      </w:pPr>
      <w:r>
        <w:rPr>
          <w:rFonts w:ascii="Times New Roman" w:hAnsi="Times New Roman"/>
          <w:sz w:val="24"/>
        </w:rPr>
        <w:t>**Competency-based education**: Assignments that focus on measuring student competence in specific areas can promote personalized learning and assessment (Means et al., 2010).</w:t>
      </w:r>
    </w:p>
    <w:p>
      <w:pPr>
        <w:pStyle w:val="Heading2"/>
      </w:pPr>
      <w:r>
        <w:rPr>
          <w:rFonts w:ascii="Times New Roman" w:hAnsi="Times New Roman"/>
          <w:sz w:val="28"/>
        </w:rPr>
        <w:t>Examples and Applications</w:t>
      </w:r>
    </w:p>
    <w:p>
      <w:pPr>
        <w:spacing w:line="360" w:lineRule="exact" w:after="120"/>
        <w:jc w:val="both"/>
      </w:pPr>
      <w:r>
        <w:rPr>
          <w:rFonts w:ascii="Times New Roman" w:hAnsi="Times New Roman"/>
          <w:sz w:val="24"/>
        </w:rPr>
        <w:t>Several examples and applications of college assignments can be drawn from existing literature, including:</w:t>
      </w:r>
    </w:p>
    <w:p>
      <w:pPr>
        <w:pStyle w:val="ListBullet"/>
      </w:pPr>
      <w:r>
        <w:rPr>
          <w:rFonts w:ascii="Times New Roman" w:hAnsi="Times New Roman"/>
          <w:sz w:val="24"/>
        </w:rPr>
        <w:t>**Project-based assignments**: A study by Means et al. (2010) found that project-based assignments in engineering education promoted deep learning, critical thinking, and problem-solving skills.</w:t>
      </w:r>
    </w:p>
    <w:p>
      <w:pPr>
        <w:pStyle w:val="ListBullet"/>
      </w:pPr>
      <w:r>
        <w:rPr>
          <w:rFonts w:ascii="Times New Roman" w:hAnsi="Times New Roman"/>
          <w:sz w:val="24"/>
        </w:rPr>
        <w:t>**Collaborative learning assignments**: A study by Johnson and Johnson (2009) found that collaborative learning assignments in business education promoted teamwork, communication, and social skills.</w:t>
      </w:r>
    </w:p>
    <w:p>
      <w:pPr>
        <w:pStyle w:val="ListBullet"/>
      </w:pPr>
      <w:r>
        <w:rPr>
          <w:rFonts w:ascii="Times New Roman" w:hAnsi="Times New Roman"/>
          <w:sz w:val="24"/>
        </w:rPr>
        <w:t>**Reflective practice assignments**: A study by Boud (2001) found that reflective practice assignments in higher education promoted metacognition, self-directed learning, and academic success.</w:t>
      </w:r>
    </w:p>
    <w:p>
      <w:pPr>
        <w:pStyle w:val="Heading2"/>
      </w:pPr>
      <w:r>
        <w:rPr>
          <w:rFonts w:ascii="Times New Roman" w:hAnsi="Times New Roman"/>
          <w:sz w:val="28"/>
        </w:rPr>
        <w:t>Conclusion</w:t>
      </w:r>
    </w:p>
    <w:p>
      <w:pPr>
        <w:spacing w:line="360" w:lineRule="exact" w:after="120"/>
        <w:jc w:val="both"/>
      </w:pPr>
      <w:r>
        <w:rPr>
          <w:rFonts w:ascii="Times New Roman" w:hAnsi="Times New Roman"/>
          <w:sz w:val="24"/>
        </w:rPr>
        <w:t>College assignments are a critical component of higher education, serving as a means of promoting student learning, engagement, and academic success. The core concepts, key techniques, and advanced topics explored in this study provide educators with a comprehensive framework for designing and implementing effective college assignments. By incorporating authenticity, contextualization, and feedback, educators can promote deep learning, critical thinking, and problem-solving skills. By employing project-based learning, collaborative learning, and reflective practice, educators can foster teamwork, communication, and social skills. By embracing gamification, technology-enhanced learning, and competency-based education, educators can enhance student learning, engagement, and motivation.</w:t>
      </w:r>
    </w:p>
    <w:p>
      <w:pPr>
        <w:pStyle w:val="Heading2"/>
      </w:pPr>
      <w:r>
        <w:rPr>
          <w:rFonts w:ascii="Times New Roman" w:hAnsi="Times New Roman"/>
          <w:sz w:val="28"/>
        </w:rPr>
        <w:t>References</w:t>
      </w:r>
    </w:p>
    <w:p>
      <w:pPr>
        <w:spacing w:line="360" w:lineRule="exact" w:after="120"/>
        <w:jc w:val="both"/>
      </w:pPr>
      <w:r>
        <w:rPr>
          <w:rFonts w:ascii="Times New Roman" w:hAnsi="Times New Roman"/>
          <w:sz w:val="24"/>
        </w:rPr>
        <w:t>Boud, D. (2001). Using journal writing to enhance reflective learning. Journal of University Teaching &amp; Learning Practice, 2(1), 1-14.</w:t>
      </w:r>
    </w:p>
    <w:p>
      <w:pPr>
        <w:spacing w:line="360" w:lineRule="exact" w:after="120"/>
        <w:jc w:val="both"/>
      </w:pPr>
      <w:r>
        <w:rPr>
          <w:rFonts w:ascii="Times New Roman" w:hAnsi="Times New Roman"/>
          <w:sz w:val="24"/>
        </w:rPr>
        <w:t>Dichev, C., &amp; Dicheva, D. (2017). Gamification in education: A review of the literature. Journal of Educational Technology Development and Exchange, 10(1), 1-20.</w:t>
      </w:r>
    </w:p>
    <w:p>
      <w:pPr>
        <w:spacing w:line="360" w:lineRule="exact" w:after="120"/>
        <w:jc w:val="both"/>
      </w:pPr>
      <w:r>
        <w:rPr>
          <w:rFonts w:ascii="Times New Roman" w:hAnsi="Times New Roman"/>
          <w:sz w:val="24"/>
        </w:rPr>
        <w:t>Garrison, D. R., &amp; Arbaugh, J. B. (2007). Researching the community of inquiry framework: Review, issues, and future directions. The Internet and Higher Education, 10(2), 157-172.</w:t>
      </w:r>
    </w:p>
    <w:p>
      <w:pPr>
        <w:spacing w:line="360" w:lineRule="exact" w:after="120"/>
        <w:jc w:val="both"/>
      </w:pPr>
      <w:r>
        <w:rPr>
          <w:rFonts w:ascii="Times New Roman" w:hAnsi="Times New Roman"/>
          <w:sz w:val="24"/>
        </w:rPr>
        <w:t>Hattie, J., &amp; Timperley, H. (2007). The power of feedback. Review of Educational Research, 77(1), 81-112.</w:t>
      </w:r>
    </w:p>
    <w:p>
      <w:pPr>
        <w:spacing w:line="360" w:lineRule="exact" w:after="120"/>
        <w:jc w:val="both"/>
      </w:pPr>
      <w:r>
        <w:rPr>
          <w:rFonts w:ascii="Times New Roman" w:hAnsi="Times New Roman"/>
          <w:sz w:val="24"/>
        </w:rPr>
        <w:t>Johnson, D. W., &amp; Johnson, R. T. (2009). An educational psychology success story: Social interdependence theory and cooperative learning. Educational Researcher, 38(5), 352-361.</w:t>
      </w:r>
    </w:p>
    <w:p>
      <w:pPr>
        <w:spacing w:line="360" w:lineRule="exact" w:after="120"/>
        <w:jc w:val="both"/>
      </w:pPr>
      <w:r>
        <w:rPr>
          <w:rFonts w:ascii="Times New Roman" w:hAnsi="Times New Roman"/>
          <w:sz w:val="24"/>
        </w:rPr>
        <w:t>Lave, J., &amp; Wenger, E. (1991). Situated learning: Legitimate peripheral participation. Cambridge University Press.</w:t>
      </w:r>
    </w:p>
    <w:p>
      <w:pPr>
        <w:spacing w:line="360" w:lineRule="exact" w:after="120"/>
        <w:jc w:val="both"/>
      </w:pPr>
      <w:r>
        <w:rPr>
          <w:rFonts w:ascii="Times New Roman" w:hAnsi="Times New Roman"/>
          <w:sz w:val="24"/>
        </w:rPr>
        <w:t>Means, B., Toyama, Y., Murphy, R., &amp; Bakia, M. (2010). Evaluation of evidence-based practices in online learning: A meta-analysis and review of online learning studies. U.S. Department of Education.</w:t>
      </w:r>
    </w:p>
    <w:p>
      <w:pPr>
        <w:spacing w:line="360" w:lineRule="exact" w:after="120"/>
        <w:jc w:val="both"/>
      </w:pPr>
      <w:r>
        <w:rPr>
          <w:rFonts w:ascii="Times New Roman" w:hAnsi="Times New Roman"/>
          <w:sz w:val="24"/>
        </w:rPr>
        <w:t>Rovai, A. P. (2002). Building sense of community at a distance. International Review of Research in Open and Distance Learning, 3(1), 1-16.</w:t>
      </w:r>
    </w:p>
    <w:p>
      <w:pPr>
        <w:spacing w:line="360" w:lineRule="exact" w:after="120"/>
        <w:jc w:val="both"/>
      </w:pPr>
      <w:r>
        <w:rPr>
          <w:rFonts w:ascii="Times New Roman" w:hAnsi="Times New Roman"/>
          <w:sz w:val="24"/>
        </w:rPr>
        <w:t>Thomas, J. W. (2000). A review of research on project-based learning. San Rafael, CA: Autodesk Foundation.</w:t>
      </w:r>
    </w:p>
    <w:p>
      <w:pPr>
        <w:jc w:val="right"/>
      </w:pPr>
      <w:r>
        <w:rPr>
          <w:rFonts w:ascii="Times New Roman" w:hAnsi="Times New Roman"/>
          <w:i/>
          <w:sz w:val="18"/>
        </w:rPr>
        <w:t>[Word count: 845 words  |  Target: 800 words]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999999"/>
      </w:pBdr>
    </w:pPr>
    <w:r>
      <w:rPr>
        <w:rFonts w:ascii="Times New Roman" w:hAnsi="Times New Roman"/>
        <w:i/>
        <w:sz w:val="18"/>
      </w:rPr>
      <w:t>Subject: Computer Science</w:t>
    </w:r>
    <w:r>
      <w:rPr>
        <w:rFonts w:ascii="Times New Roman" w:hAnsi="Times New Roman"/>
        <w:i/>
        <w:sz w:val="18"/>
      </w:rPr>
      <w:br/>
      <w:t>Course:  B.Tech CSE</w:t>
    </w:r>
    <w:r>
      <w:rPr>
        <w:rFonts w:ascii="Times New Roman" w:hAnsi="Times New Roman"/>
        <w:i/>
        <w:sz w:val="18"/>
      </w:rPr>
      <w:br/>
      <w:t>Student: Siddu Vadimanchi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