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2"/>
          <w:szCs w:val="52"/>
        </w:rPr>
        <w:t xml:space="preserve">台股 Alpha 策略</w:t>
      </w:r>
    </w:p>
    <w:p>
      <w:pPr>
        <w:spacing w:after="1200"/>
        <w:jc w:val="center"/>
      </w:pPr>
      <w:r>
        <w:rPr>
          <w:color w:val="555555"/>
          <w:sz w:val="32"/>
          <w:szCs w:val="32"/>
        </w:rPr>
        <w:t xml:space="preserve">開發紀錄 (Development Log)</w:t>
      </w:r>
    </w:p>
    <w:p>
      <w:pPr>
        <w:jc w:val="center"/>
      </w:pPr>
      <w:r>
        <w:rPr>
          <w:sz w:val="24"/>
          <w:szCs w:val="24"/>
        </w:rPr>
        <w:t xml:space="preserve">作者：Sider　|　den35222@gmail.com</w:t>
      </w:r>
    </w:p>
    <w:p>
      <w:pPr>
        <w:spacing w:after="400"/>
        <w:jc w:val="center"/>
      </w:pPr>
      <w:r>
        <w:rPr>
          <w:sz w:val="24"/>
          <w:szCs w:val="24"/>
        </w:rPr>
        <w:t xml:space="preserve">建立日期：2026-06-20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2026-06-20 版本更新 — 資料管線初版建置</w:t>
      </w:r>
    </w:p>
    <w:p>
      <w:r>
        <w:rPr>
          <w:b/>
          <w:bCs/>
        </w:rPr>
        <w:t xml:space="preserve">摘要：</w:t>
      </w:r>
      <w:r>
        <w:t xml:space="preserve">建立四大產業（半導體、電子、生技、金融）台股 Alpha 策略的資料下載與品質檢查管線；確立資料來源分工（股價與基本面皆採 FinMind，TEJ 退居診斷）；修正三項資料正確性問題。</w:t>
      </w:r>
    </w:p>
    <w:p>
      <w:pPr>
        <w:pStyle w:val="Heading2"/>
      </w:pPr>
      <w: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專案骨架與設定、FinMind 客戶端（含自製還原）、抓取與檢查腳本：</w:t>
      </w:r>
      <w:r>
        <w:t xml:space="preserve">config/.env/.gitignore、finmind_client、fetch_universe/prices/fundamentals、inspect_data、診斷工具。</w:t>
      </w:r>
    </w:p>
    <w:p>
      <w:pPr>
        <w:pStyle w:val="Heading2"/>
      </w:pPr>
      <w:r>
        <w:t xml:space="preserve">刪減功能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移除 TEJ 作為財報主來源</w:t>
      </w:r>
      <w:r>
        <w:t xml:space="preserve">：試用財報 long 格式、無發布日、歷史短、涵蓋不全，改用 FinMind。</w:t>
      </w:r>
    </w:p>
    <w:p>
      <w:pPr>
        <w:pStyle w:val="Heading2"/>
      </w:pPr>
      <w:r>
        <w:t xml:space="preserve">Bug 修復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無 token 截斷→補 FINMIND_TOKEN；停牌日 close=0 污染→剔除；後復權係數錯誤→改用 after_price/before_price。</w:t>
      </w: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2026-06-23 版本更新 — 特徵工程、因子海選(DFS/GP)與回測建置</w:t>
      </w:r>
    </w:p>
    <w:p>
      <w:r>
        <w:rPr>
          <w:b/>
          <w:bCs/>
        </w:rPr>
        <w:t xml:space="preserve">摘要：</w:t>
      </w:r>
      <w:r>
        <w:t xml:space="preserve">建立發布日對齊與月頻因子評估骨架；DFS 機械式海選找到穩健因子（成功）；GP 符號回歸嘗試後棄用；建立因子正交化與產業內回測。海選嚴格切訓練(2018–2023)/測試(2024–2026)防過擬合。</w:t>
      </w:r>
    </w:p>
    <w:p>
      <w:pPr>
        <w:pStyle w:val="Heading2"/>
      </w:pPr>
      <w: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發布日對齊 align_data.py：</w:t>
      </w:r>
      <w:r>
        <w:t xml:space="preserve">月營收次月10日 lag、財報法定期限近似，merge_asof 對齊每日面板(panel.parquet)，已驗證 PIT。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月頻因子面板 build_factors.py、產業內 IC/ICIR 評估 factor_eval.py（含分產業版）。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DFS 機械式因子生成 mine_dfs.py：</w:t>
      </w:r>
      <w:r>
        <w:t xml:space="preserve">數十候選、訓練期產業內 ICIR 海選、報告各產業 ICIR 與 train/test 一致性。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因子正交化+回測 backtest.py：</w:t>
      </w:r>
      <w:r>
        <w:t xml:space="preserve">產業內中性化→對稱正交化去重→合成→產業內選股→成本/多空/動能加權選項。</w:t>
      </w:r>
    </w:p>
    <w:p>
      <w:pPr>
        <w:pStyle w:val="Heading2"/>
      </w:pPr>
      <w:r>
        <w:t xml:space="preserve">DFS 開發結果（成功）</w:t>
      </w:r>
    </w:p>
    <w:p>
      <w:pPr>
        <w:pStyle w:val="ListParagraph"/>
        <w:numPr>
          <w:ilvl w:val="0"/>
          <w:numId w:val="2"/>
        </w:numPr>
      </w:pPr>
      <w:r>
        <w:t xml:space="preserve">價值/獲利最強（gp_to_px 訓練0.53/測試0.84、eps_to_px 0.77/0.61）、成長(g_eps_12 0.56/0.56)、低波動、52週高點動能皆樣本外有效；並見產業專屬訊號。</w:t>
      </w:r>
    </w:p>
    <w:p>
      <w:pPr>
        <w:pStyle w:val="Heading2"/>
      </w:pPr>
      <w:r>
        <w:t xml:space="preserve">刪減/棄用功能（GP 棄用始末）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 符號回歸最終棄用。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(1) gplearn 與新版 scikit-learn 不相容、make_fitness 長度探測報錯。</w:t>
      </w:r>
    </w:p>
    <w:p>
      <w:pPr>
        <w:pStyle w:val="ListParagraph"/>
        <w:numPr>
          <w:ilvl w:val="0"/>
          <w:numId w:val="2"/>
        </w:numPr>
      </w:pPr>
      <w:r>
        <w:t xml:space="preserve">(2) 改寫自製輕量 GP 引擎(運算式樹/交叉/突變/錦標賽/菁英/parsimony)，適應度=產業內 ICIR，多種子篩選。</w:t>
      </w:r>
    </w:p>
    <w:p>
      <w:pPr>
        <w:pStyle w:val="ListParagraph"/>
        <w:numPr>
          <w:ilvl w:val="0"/>
          <w:numId w:val="2"/>
        </w:numPr>
      </w:pPr>
      <w:r>
        <w:t xml:space="preserve">(3) 首輪5種子跨種子不穩定、ICIR 遠低於 DFS、測試多翻負——過擬合。</w:t>
      </w:r>
    </w:p>
    <w:p>
      <w:pPr>
        <w:pStyle w:val="ListParagraph"/>
        <w:numPr>
          <w:ilvl w:val="0"/>
          <w:numId w:val="2"/>
        </w:numPr>
      </w:pPr>
      <w:r>
        <w:t xml:space="preserve">(4) warm-start 改良後仍全數輸給單因子基準(GP 0.04–0.19 vs eps_to_px 0.76)。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結論：</w:t>
      </w:r>
      <w:r>
        <w:t xml:space="preserve">訊號本質為單調的價值/成長/低波動，GP 非線性組合僅過擬合、外推失敗；棄用 GP，改採 DFS 因子。</w:t>
      </w:r>
    </w:p>
    <w:p>
      <w:pPr>
        <w:pStyle w:val="Heading2"/>
      </w:pPr>
      <w:r>
        <w:t xml:space="preserve">Bug 修復/重構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基本面漏抓補齊；pct_change fill_method=None；IC 零變異跳過；分產業 ICIR 報告；對稱正交化去重。</w:t>
      </w: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2026-06-23 版本更新 — 最終策略定案與回測績效</w:t>
      </w:r>
    </w:p>
    <w:p>
      <w:r>
        <w:rPr>
          <w:b/>
          <w:bCs/>
        </w:rPr>
        <w:t xml:space="preserve">摘要：</w:t>
      </w:r>
      <w:r>
        <w:t xml:space="preserve">以集中度掃描與動能加權的『雙期一致性檢驗』定案最終策略：產業內選前 10% + 動能加權。樣本外 CAGR 31.1%、Sharpe 2.21、MaxDD −6.6%，明顯優於等權基準。</w:t>
      </w:r>
    </w:p>
    <w:p>
      <w:pPr>
        <w:pStyle w:val="Heading2"/>
      </w:pPr>
      <w:r>
        <w:t xml:space="preserve">最終策略規格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標的：</w:t>
      </w:r>
      <w:r>
        <w:t xml:space="preserve">半導體/電子/生技/金融 四產業，約 894 檔，月頻換倉。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因子(6，PIT、DFS 驗證)：</w:t>
      </w:r>
      <w:r>
        <w:t xml:space="preserve">gp_to_px、eps_to_px、op_to_rev、g_eps_12、neg_vol_63、dist_high。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流程：</w:t>
      </w:r>
      <w:r>
        <w:t xml:space="preserve">產業內 z-score 中性化 → 對稱正交化去重 → 等權合成分數 → 各產業內選前 10% 做多 → 以 dist_high 排名動能加權 → 月換倉、扣交易成本（換手約 35%）。</w:t>
      </w:r>
    </w:p>
    <w:p>
      <w:pPr>
        <w:pStyle w:val="Heading2"/>
      </w:pPr>
      <w:r>
        <w:t xml:space="preserve">回測績效（扣成本，對照全池等權基準）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全期(101月)：</w:t>
      </w:r>
      <w:r>
        <w:t xml:space="preserve">long CAGR 25.22%、Sharpe 1.71、MaxDD −14.7%、勝率 70.3%；基準 19.04%/1.01/−22.7%。年化超額 +4.26%、t=1.43。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訓練期(&lt;=2023)：</w:t>
      </w:r>
      <w:r>
        <w:t xml:space="preserve">long CAGR 22.93%、Sharpe 1.53；基準 17.19%/0.90。超額 +3.86%、t=1.09。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測試期(2024+,樣本外)：</w:t>
      </w:r>
      <w:r>
        <w:t xml:space="preserve">long CAGR 31.10%、Sharpe 2.21、MaxDD −6.61%、勝率 72.4%；基準 23.75%/1.33/−14.55%。超額 +5.25%、t=0.93。</w:t>
      </w:r>
    </w:p>
    <w:p>
      <w:pPr>
        <w:pStyle w:val="Heading2"/>
      </w:pPr>
      <w:r>
        <w:t xml:space="preserve">關鍵決策與驗證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集中度：</w:t>
      </w:r>
      <w:r>
        <w:t xml:space="preserve">30%→5% 的 CAGR/Sharpe 在訓練與測試兩期單調改善（一致→可信）；選 10% 為甜蜜點（測試 Sharpe 最高、79 檔夠分散）。依訓練表現＋一致性挑選，而非挑測試期最高，避免 data snooping。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動能加權：</w:t>
      </w:r>
      <w:r>
        <w:t xml:space="preserve">5% 與 10%、訓練與測試共四維度全部提升且換手未增，通過雙期一致性，故採用。</w:t>
      </w:r>
    </w:p>
    <w:p>
      <w:pPr>
        <w:pStyle w:val="Heading2"/>
      </w:pPr>
      <w:r>
        <w:t xml:space="preserve">誠實侷限</w:t>
      </w:r>
    </w:p>
    <w:p>
      <w:pPr>
        <w:pStyle w:val="ListParagraph"/>
        <w:numPr>
          <w:ilvl w:val="0"/>
          <w:numId w:val="2"/>
        </w:numPr>
      </w:pPr>
      <w:r>
        <w:t xml:space="preserve">測試期超額 t=0.93 未達統計顯著，主因樣本外僅 29 個月、檢定力不足；雙期一致性與 Sharpe 2.2 為經濟意義上的支撐。</w:t>
      </w:r>
    </w:p>
    <w:p>
      <w:pPr>
        <w:pStyle w:val="ListParagraph"/>
        <w:numPr>
          <w:ilvl w:val="0"/>
          <w:numId w:val="2"/>
        </w:numPr>
      </w:pPr>
      <w:r>
        <w:t xml:space="preserve">多空組合偏弱（訓練 Sharpe 0.38），邊際在多方；台股放空成本高。</w:t>
      </w:r>
    </w:p>
    <w:p>
      <w:pPr>
        <w:pStyle w:val="ListParagraph"/>
        <w:numPr>
          <w:ilvl w:val="0"/>
          <w:numId w:val="2"/>
        </w:numPr>
      </w:pPr>
      <w:r>
        <w:t xml:space="preserve">減資未還原（約 114 筆極端日報酬，已以 winsorize 緩解，未根治）。</w:t>
      </w:r>
    </w:p>
    <w:p>
      <w:pPr>
        <w:pStyle w:val="ListParagraph"/>
        <w:numPr>
          <w:ilvl w:val="0"/>
          <w:numId w:val="2"/>
        </w:numPr>
      </w:pPr>
      <w:r>
        <w:t xml:space="preserve">資料僅 2018 起（受 TEJ/對齊期限制），經歷市場循環有限。</w:t>
      </w:r>
    </w:p>
    <w:p>
      <w:pPr>
        <w:pStyle w:val="Heading2"/>
      </w:pPr>
      <w:r>
        <w:t xml:space="preserve">後續待辦</w:t>
      </w:r>
    </w:p>
    <w:p>
      <w:pPr>
        <w:pStyle w:val="ListParagraph"/>
        <w:numPr>
          <w:ilvl w:val="0"/>
          <w:numId w:val="2"/>
        </w:numPr>
      </w:pPr>
      <w:r>
        <w:t xml:space="preserve">減資還原（FinMind 減資參考價）根治極端報酬。</w:t>
      </w:r>
    </w:p>
    <w:p>
      <w:pPr>
        <w:pStyle w:val="ListParagraph"/>
        <w:numPr>
          <w:ilvl w:val="0"/>
          <w:numId w:val="2"/>
        </w:numPr>
      </w:pPr>
      <w:r>
        <w:t xml:space="preserve">walk-forward 滾動回測（非單一切點）強化穩健性；擴充資料年份與產業。</w:t>
      </w:r>
    </w:p>
    <w:p>
      <w:pPr>
        <w:pStyle w:val="ListParagraph"/>
        <w:numPr>
          <w:ilvl w:val="0"/>
          <w:numId w:val="2"/>
        </w:numPr>
      </w:pPr>
      <w:r>
        <w:t xml:space="preserve">交易成本敏感度、風險加權（波動率目標/風險平價）、月營收 lag 敏感度測試。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2026-06-24T02:58:35.353Z</dcterms:created>
  <dcterms:modified xsi:type="dcterms:W3CDTF">2026-06-24T02:58:35.353Z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