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000"/>
        <w:jc w:val="center"/>
      </w:pPr>
      <w:r>
        <w:rPr>
          <w:b/>
          <w:bCs/>
          <w:sz w:val="52"/>
          <w:szCs w:val="52"/>
        </w:rPr>
        <w:t xml:space="preserve">台股 Alpha 策略</w:t>
      </w:r>
    </w:p>
    <w:p>
      <w:pPr>
        <w:spacing w:after="1200"/>
        <w:jc w:val="center"/>
      </w:pPr>
      <w:r>
        <w:rPr>
          <w:color w:val="555555"/>
          <w:sz w:val="32"/>
          <w:szCs w:val="32"/>
        </w:rPr>
        <w:t xml:space="preserve">開發紀錄 (Development Log)</w:t>
      </w:r>
    </w:p>
    <w:p>
      <w:pPr>
        <w:jc w:val="center"/>
      </w:pPr>
      <w:r>
        <w:rPr>
          <w:sz w:val="24"/>
          <w:szCs w:val="24"/>
        </w:rPr>
        <w:t xml:space="preserve">作者：Sider　|　den35222@gmail.com</w:t>
      </w:r>
    </w:p>
    <w:p>
      <w:pPr>
        <w:spacing w:after="400"/>
        <w:jc w:val="center"/>
      </w:pPr>
      <w:r>
        <w:rPr>
          <w:sz w:val="24"/>
          <w:szCs w:val="24"/>
        </w:rPr>
        <w:t xml:space="preserve">建立日期：2026-06-20</w:t>
      </w:r>
    </w:p>
    <w:p>
      <w:pPr>
        <w:pageBreakBefore/>
      </w:pPr>
      <w:r>
        <w:t xml:space="preserve"/>
      </w:r>
    </w:p>
    <w:p>
      <w:pPr>
        <w:pStyle w:val="Heading1"/>
      </w:pPr>
      <w:r>
        <w:t xml:space="preserve">2026-06-20 版本更新 — 資料管線初版建置</w:t>
      </w:r>
    </w:p>
    <w:p>
      <w:r>
        <w:rPr>
          <w:b/>
          <w:bCs/>
        </w:rPr>
        <w:t xml:space="preserve">摘要：</w:t>
      </w:r>
      <w:r>
        <w:t xml:space="preserve">建立四大產業台股 Alpha 策略的資料下載與品質檢查管線；資料來源分工(股價與基本面皆 FinMind，TEJ 退居診斷)。</w:t>
      </w:r>
    </w:p>
    <w:p>
      <w:pPr>
        <w:pStyle w:val="Heading2"/>
      </w:pPr>
      <w:r>
        <w:t xml:space="preserve">新增功能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專案骨架、FinMind 客戶端(含自製還原)、抓取與檢查腳本。</w:t>
      </w:r>
      <w:r>
        <w:t xml:space="preserve"/>
      </w:r>
    </w:p>
    <w:p>
      <w:pPr>
        <w:pStyle w:val="Heading2"/>
      </w:pPr>
      <w:r>
        <w:t xml:space="preserve">Bug 修復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無 token 截斷→補 token；停牌日 close=0→剔除；後復權係數→改用 after/before_price。</w:t>
      </w:r>
      <w:r>
        <w:t xml:space="preserve"/>
      </w:r>
    </w:p>
    <w:p>
      <w:pPr>
        <w:pageBreakBefore/>
      </w:pPr>
      <w:r>
        <w:t xml:space="preserve"/>
      </w:r>
    </w:p>
    <w:p>
      <w:pPr>
        <w:pStyle w:val="Heading1"/>
      </w:pPr>
      <w:r>
        <w:t xml:space="preserve">2026-06-23 版本更新 — 特徵工程、因子海選(DFS/GP)與回測建置</w:t>
      </w:r>
    </w:p>
    <w:p>
      <w:r>
        <w:rPr>
          <w:b/>
          <w:bCs/>
        </w:rPr>
        <w:t xml:space="preserve">摘要：</w:t>
      </w:r>
      <w:r>
        <w:t xml:space="preserve">發布日對齊(PIT)、月頻因子評估(產業內 IC/ICIR)、DFS 機械式海選、對稱正交化+產業內回測；嚴格切訓練/測試防過擬合。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DFS 成功：</w:t>
      </w:r>
      <w:r>
        <w:t xml:space="preserve">價值/獲利、低波動、動能、成長等因子樣本外有效。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GP 棄用：</w:t>
      </w:r>
      <w:r>
        <w:t xml:space="preserve">自製 GP 跨種子不穩定、warm-start 仍輸單因子基準→判定過擬合，棄用。</w:t>
      </w:r>
    </w:p>
    <w:p>
      <w:pPr>
        <w:pageBreakBefore/>
      </w:pPr>
      <w:r>
        <w:t xml:space="preserve"/>
      </w:r>
    </w:p>
    <w:p>
      <w:pPr>
        <w:pStyle w:val="Heading1"/>
      </w:pPr>
      <w:r>
        <w:t xml:space="preserve">2026-06-23 版本更新 — 初版最終策略(2018–2026)</w:t>
      </w:r>
    </w:p>
    <w:p>
      <w:r>
        <w:rPr>
          <w:b/>
          <w:bCs/>
        </w:rPr>
        <w:t xml:space="preserve">摘要：</w:t>
      </w:r>
      <w:r>
        <w:t xml:space="preserve">以集中度掃描+動能加權雙期一致性定出初版(前10%+動能)；但測試期僅29個月且為單一多頭，t&lt;2，促成擴大樣本。</w:t>
      </w:r>
    </w:p>
    <w:p>
      <w:pPr>
        <w:pageBreakBefore/>
      </w:pPr>
      <w:r>
        <w:t xml:space="preserve"/>
      </w:r>
    </w:p>
    <w:p>
      <w:pPr>
        <w:pStyle w:val="Heading1"/>
      </w:pPr>
      <w:r>
        <w:t xml:space="preserve">2026-06-25 版本更新 — 擴充至2012、加入資產負債表/現金流量表與最終多基準回測</w:t>
      </w:r>
    </w:p>
    <w:p>
      <w:r>
        <w:rPr>
          <w:b/>
          <w:bCs/>
        </w:rPr>
        <w:t xml:space="preserve">摘要：</w:t>
      </w:r>
      <w:r>
        <w:t xml:space="preserve">資料擴大到 2012–2026、測試期移到 2020–2026(含 COVID/2022空頭/2024多頭)使檢定力大增；整合資產負債表與現金流量表、新增基本面因子；建立 0050 與大盤/櫃買報酬指數多基準比較。</w:t>
      </w:r>
    </w:p>
    <w:p>
      <w:pPr>
        <w:pStyle w:val="Heading2"/>
      </w:pPr>
      <w:r>
        <w:t xml:space="preserve">資料與管線升級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樣本擴大 2018→2012(958檔)、測試移2020(OOS 77個月、跨多空頭)。</w:t>
      </w:r>
      <w:r>
        <w:t xml:space="preserve"/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新增資產負債表(b_)、現金流量表(c_)：</w:t>
      </w:r>
      <w:r>
        <w:t xml:space="preserve">PIT 對齊；解鎖 ROE/ROA/淨值股價比/自由現金流殖利率/應計項目等。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殖利率改用原始股價、淨利欄位互補(coalesce)修好 ROE/ROA 測試期 NaN。</w:t>
      </w:r>
      <w:r>
        <w:t xml:space="preserve"/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0050 基準改用 yfinance(處理分割/配息)，清除單月|報酬|&gt;40%壞點(2014-01)，並與 FinMind 雙來源交叉驗證(正常月份完全一致)。</w:t>
      </w:r>
      <w:r>
        <w:t xml:space="preserve"/>
      </w:r>
    </w:p>
    <w:p>
      <w:pPr>
        <w:pStyle w:val="Heading2"/>
      </w:pPr>
      <w:r>
        <w:t xml:space="preserve">最終策略使用的因子</w:t>
      </w:r>
    </w:p>
    <w:tbl>
      <w:tblPr>
        <w:tblW w:type="dxa" w:w="82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500"/>
        <w:gridCol w:w="4400"/>
        <w:gridCol w:w="820"/>
      </w:tblGrid>
      <w:tr>
        <w:trPr>
          <w:tblHeader/>
        </w:trP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因子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類型</w:t>
            </w:r>
          </w:p>
        </w:tc>
        <w:tc>
          <w:tcPr>
            <w:tcW w:type="dxa" w:w="4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定義</w:t>
            </w:r>
          </w:p>
        </w:tc>
        <w:tc>
          <w:tcPr>
            <w:tcW w:type="dxa" w:w="8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方向</w:t>
            </w:r>
          </w:p>
        </w:tc>
      </w:tr>
      <w:t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gp_to_px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價值</w:t>
            </w:r>
          </w:p>
        </w:tc>
        <w:tc>
          <w:tcPr>
            <w:tcW w:type="dxa" w:w="4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營業毛利 ÷ 股價(毛利率殖利率)</w:t>
            </w:r>
          </w:p>
        </w:tc>
        <w:tc>
          <w:tcPr>
            <w:tcW w:type="dxa" w:w="8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↑</w:t>
            </w:r>
          </w:p>
        </w:tc>
      </w:tr>
      <w:t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fcf_yield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價值/現金流</w:t>
            </w:r>
          </w:p>
        </w:tc>
        <w:tc>
          <w:tcPr>
            <w:tcW w:type="dxa" w:w="4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(營業現金流 − 資本支出) ÷ 市值</w:t>
            </w:r>
          </w:p>
        </w:tc>
        <w:tc>
          <w:tcPr>
            <w:tcW w:type="dxa" w:w="8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↑</w:t>
            </w:r>
          </w:p>
        </w:tc>
      </w:tr>
      <w:t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bp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價值/淨值</w:t>
            </w:r>
          </w:p>
        </w:tc>
        <w:tc>
          <w:tcPr>
            <w:tcW w:type="dxa" w:w="4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歸屬母公司權益 ÷ 市值(淨值股價比)</w:t>
            </w:r>
          </w:p>
        </w:tc>
        <w:tc>
          <w:tcPr>
            <w:tcW w:type="dxa" w:w="8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↑</w:t>
            </w:r>
          </w:p>
        </w:tc>
      </w:tr>
      <w:t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quality_score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品質</w:t>
            </w:r>
          </w:p>
        </w:tc>
        <w:tc>
          <w:tcPr>
            <w:tcW w:type="dxa" w:w="4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Piotroski 風格綜合分(ROA/現金流/低應計/獲利率上升/降槓桿)</w:t>
            </w:r>
          </w:p>
        </w:tc>
        <w:tc>
          <w:tcPr>
            <w:tcW w:type="dxa" w:w="8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↑</w:t>
            </w:r>
          </w:p>
        </w:tc>
      </w:tr>
      <w:t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neg_accruals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品質</w:t>
            </w:r>
          </w:p>
        </w:tc>
        <w:tc>
          <w:tcPr>
            <w:tcW w:type="dxa" w:w="4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−(淨利 − 營業現金流) ÷ 總資產</w:t>
            </w:r>
          </w:p>
        </w:tc>
        <w:tc>
          <w:tcPr>
            <w:tcW w:type="dxa" w:w="8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↑</w:t>
            </w:r>
          </w:p>
        </w:tc>
      </w:tr>
      <w:t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neg_vol_63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低波動</w:t>
            </w:r>
          </w:p>
        </w:tc>
        <w:tc>
          <w:tcPr>
            <w:tcW w:type="dxa" w:w="4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− 63 日報酬波動率</w:t>
            </w:r>
          </w:p>
        </w:tc>
        <w:tc>
          <w:tcPr>
            <w:tcW w:type="dxa" w:w="8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↑</w:t>
            </w:r>
          </w:p>
        </w:tc>
      </w:tr>
      <w:t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dist_high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動能</w:t>
            </w:r>
          </w:p>
        </w:tc>
        <w:tc>
          <w:tcPr>
            <w:tcW w:type="dxa" w:w="4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收盤 ÷ 一年最高 − 1(距52週高點)</w:t>
            </w:r>
          </w:p>
        </w:tc>
        <w:tc>
          <w:tcPr>
            <w:tcW w:type="dxa" w:w="8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↑</w:t>
            </w:r>
          </w:p>
        </w:tc>
      </w:tr>
      <w:t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g_eps_12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成長</w:t>
            </w:r>
          </w:p>
        </w:tc>
        <w:tc>
          <w:tcPr>
            <w:tcW w:type="dxa" w:w="4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EPS 年增率</w:t>
            </w:r>
          </w:p>
        </w:tc>
        <w:tc>
          <w:tcPr>
            <w:tcW w:type="dxa" w:w="8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↑</w:t>
            </w:r>
          </w:p>
        </w:tc>
      </w:tr>
    </w:tbl>
    <w:p>
      <w:pPr>
        <w:pStyle w:val="Heading2"/>
      </w:pPr>
      <w:r>
        <w:t xml:space="preserve">最終績效(前10%+動能加權)</w:t>
      </w:r>
    </w:p>
    <w:tbl>
      <w:tblPr>
        <w:tblW w:type="dxa" w:w="8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000"/>
        <w:gridCol w:w="1600"/>
        <w:gridCol w:w="1500"/>
        <w:gridCol w:w="1600"/>
      </w:tblGrid>
      <w:tr>
        <w:trPr>
          <w:tblHeader/>
        </w:trPr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期間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組合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CAGR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Sharpe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MaxDD</w:t>
            </w:r>
          </w:p>
        </w:tc>
      </w:tr>
      <w:tr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全期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多方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25.63%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1.69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−18.58%</w:t>
            </w:r>
          </w:p>
        </w:tc>
      </w:tr>
      <w:tr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全期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基準(等權)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17.03%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0.98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−25.17%</w:t>
            </w:r>
          </w:p>
        </w:tc>
      </w:tr>
      <w:tr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測試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多方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31.37%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1.80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−12.83%</w:t>
            </w:r>
          </w:p>
        </w:tc>
      </w:tr>
      <w:tr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測試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基準(等權)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24.26%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1.18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−17.73%</w:t>
            </w:r>
          </w:p>
        </w:tc>
      </w:tr>
    </w:tbl>
    <w:p>
      <w:pPr>
        <w:pStyle w:val="Heading2"/>
      </w:pPr>
      <w:r>
        <w:t xml:space="preserve">多基準超額(全期/測試)</w:t>
      </w:r>
    </w:p>
    <w:tbl>
      <w:tblPr>
        <w:tblW w:type="dxa" w:w="8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000"/>
        <w:gridCol w:w="3000"/>
      </w:tblGrid>
      <w:tr>
        <w:trPr>
          <w:tblHeader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基準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全期超額(t)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測試超額(t)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全池等權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+6.63% (3.29)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+4.94% (1.37)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0050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+2.58% (0.43)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−0.32% (−0.03)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大盤 TAIEX TR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+5.71% (1.04)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+2.71% (0.26)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櫃買 TPEx TR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+7.98% (1.35)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+6.26% (0.59)</w:t>
            </w:r>
          </w:p>
        </w:tc>
      </w:tr>
    </w:tbl>
    <w:p>
      <w:pPr>
        <w:pStyle w:val="Heading2"/>
      </w:pPr>
      <w:r>
        <w:t xml:space="preserve">結論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有真實且顯著的選股 alpha(全期 vs 等權 t=3.29)；相對買大盤/0050 報酬打平到小贏，但 Sharpe 高一截、回撤約一半。賣點是『更穩』而非『更猛』。</w:t>
      </w:r>
      <w:r>
        <w:t xml:space="preserve"/>
      </w:r>
    </w:p>
    <w:p>
      <w:pPr>
        <w:pageBreakBefore/>
      </w:pPr>
      <w:r>
        <w:t xml:space="preserve"/>
      </w:r>
    </w:p>
    <w:p>
      <w:pPr>
        <w:pStyle w:val="Heading1"/>
      </w:pPr>
      <w:r>
        <w:t xml:space="preserve">2026-06-25 版本更新 — 配重方法研究與方法論補強（策略不變）</w:t>
      </w:r>
    </w:p>
    <w:p>
      <w:r>
        <w:rPr>
          <w:b/>
          <w:bCs/>
        </w:rPr>
        <w:t xml:space="preserve">摘要：</w:t>
      </w:r>
      <w:r>
        <w:t xml:space="preserve">系統性比較等權/動能/分數/單因子配重，確認維持『動能(排名)加權』為有紀律的選擇；並把報酬與配重的計算細節文件化。本次無策略參數調整。</w:t>
      </w:r>
    </w:p>
    <w:p>
      <w:pPr>
        <w:pStyle w:val="Heading2"/>
      </w:pPr>
      <w:r>
        <w:t xml:space="preserve">配重比較（前10%；各以單一依據配重）</w:t>
      </w:r>
    </w:p>
    <w:tbl>
      <w:tblPr>
        <w:tblW w:type="dxa" w:w="8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400"/>
        <w:gridCol w:w="1400"/>
        <w:gridCol w:w="1400"/>
        <w:gridCol w:w="1400"/>
      </w:tblGrid>
      <w:tr>
        <w:trPr>
          <w:tblHeader/>
        </w:trP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配重依據</w:t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訓SR</w:t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訓t</w:t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測SR</w:t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測t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等權</w:t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1.35</w:t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3.57</w:t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1.63</w:t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1.36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分數(8因子綜合)</w:t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1.40</w:t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3.63</w:t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1.63</w:t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1.33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dist_high 動能(採用)</w:t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1.60</w:t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3.63</w:t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1.80</w:t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1.37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gp_to_px</w:t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1.30</w:t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2.53</w:t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1.63</w:t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1.39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fcf_yield</w:t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1.37</w:t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4.14</w:t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1.61</w:t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1.56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bp</w:t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1.28</w:t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3.81</w:t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1.51</w:t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1.01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quality_score</w:t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1.51</w:t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4.06</w:t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1.76</w:t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2.13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neg_accruals</w:t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1.39</w:t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3.83</w:t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1.66</w:t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1.52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neg_vol_63</w:t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1.47</w:t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2.97</w:t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1.74</w:t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0.05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g_eps_12</w:t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1.41</w:t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4.28</w:t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1.63</w:t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7"/>
                <w:szCs w:val="17"/>
              </w:rPr>
              <w:t xml:space="preserve">1.76</w:t>
            </w:r>
          </w:p>
        </w:tc>
      </w:tr>
    </w:tbl>
    <w:p>
      <w:pPr>
        <w:pStyle w:val="Heading2"/>
      </w:pPr>
      <w:r>
        <w:t xml:space="preserve">關鍵發現與方法論紀律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維持動能加權：</w:t>
      </w:r>
      <w:r>
        <w:t xml:space="preserve">它是事先(a-priori)假設、訓練 Sharpe 最高(1.60)，且動能與選股核心(價值/品質)正交，配重等於加入新維度而非加倍下注。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『分數加權』≈ 等權：</w:t>
      </w:r>
      <w:r>
        <w:t xml:space="preserve">選進前10%後都是高分股、分數擠在最高端，配重的額外資訊有限。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拒絕 quality_score 配重(雖測試 t=2.13 最高)：</w:t>
      </w:r>
      <w:r>
        <w:t xml:space="preserve">若因『它測試期最好』而採用＝用測試集挑參數(data snooping)；堅持只用事先假設+訓練表現挑選。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配重是次要槓桿：</w:t>
      </w:r>
      <w:r>
        <w:t xml:space="preserve">各版本差異小，alpha 主要來自選股(綜合分數，全期 t=3.29)，不為多榨一點而最佳化配重。</w:t>
      </w:r>
    </w:p>
    <w:p>
      <w:pPr>
        <w:pStyle w:val="Heading2"/>
      </w:pPr>
      <w:r>
        <w:t xml:space="preserve">計算細節（文件化）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報酬：</w:t>
      </w:r>
      <w:r>
        <w:t xml:space="preserve">fwd_ret = 還原收盤(M+1)/還原收盤(M) − 1(含息總報酬、PIT、逐月winsorize)；組合月報酬 = Σ(權重×次月報酬) − 0.4%×換手。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動能加權為『排名(ordinal)』配重：</w:t>
      </w:r>
      <w:r>
        <w:t xml:space="preserve">只看名次、不看分數差距大小(同名次→同權重)；選排名是為穩健(dist_high 恆≤0、避免離群值主導)。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個股等權(非產業等權)：</w:t>
      </w:r>
      <w:r>
        <w:t xml:space="preserve">選股產業中性，但持倉權重偏向檔數多的電子業；基準(全池等權)有相同傾斜，比較仍公平。</w:t>
      </w:r>
    </w:p>
    <w:p>
      <w:pPr>
        <w:pStyle w:val="Heading2"/>
      </w:pPr>
      <w:r>
        <w:t xml:space="preserve">結論</w:t>
      </w:r>
    </w:p>
    <w:p>
      <w:pPr>
        <w:pStyle w:val="ListParagraph"/>
        <w:numPr>
          <w:ilvl w:val="0"/>
          <w:numId w:val="2"/>
        </w:numPr>
      </w:pPr>
      <w:r>
        <w:t xml:space="preserve">策略維持不變(2012–2026、8因子、產業中性、正交化、前10%、動能排名加權)；本次強化的是設計的可解釋性與抗過擬合論證。</w:t>
      </w:r>
    </w:p>
    <w:sectPr>
      <w:pgSz w:w="11906" w:h="16838" w:orient="portrait"/>
      <w:pgMar w:top="1440" w:right="1080" w:bottom="144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  <w:lvl w:ilvl="1" w15:tentative="1">
      <w:start w:val="1"/>
      <w:numFmt w:val="bullet"/>
      <w:lvlText w:val="–"/>
      <w:lvlJc w:val="left"/>
      <w:pPr>
        <w:ind w:left="9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F4E79" w:sz="6" w:space="4"/>
      </w:pBdr>
      <w:spacing w:after="140" w:before="240"/>
      <w:outlineLvl w:val="0"/>
    </w:pPr>
    <w:rPr>
      <w:rFonts w:ascii="Arial" w:cs="Arial" w:eastAsia="Arial" w:hAnsi="Arial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90" w:before="160"/>
      <w:outlineLvl w:val="1"/>
    </w:pPr>
    <w:rPr>
      <w:rFonts w:ascii="Arial" w:cs="Arial" w:eastAsia="Arial" w:hAnsi="Arial"/>
      <w:b/>
      <w:bCs/>
      <w:color w:val="2E75B6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2026-06-30T08:43:29.025Z</dcterms:created>
  <dcterms:modified xsi:type="dcterms:W3CDTF">2026-06-30T08:43:29.025Z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