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b/>
          <w:bCs/>
          <w:sz w:val="52"/>
          <w:szCs w:val="52"/>
        </w:rPr>
        <w:t xml:space="preserve">台股 Alpha 策略</w:t>
      </w:r>
    </w:p>
    <w:p>
      <w:pPr>
        <w:spacing w:after="1200"/>
        <w:jc w:val="center"/>
      </w:pPr>
      <w:r>
        <w:rPr>
          <w:color w:val="555555"/>
          <w:sz w:val="32"/>
          <w:szCs w:val="32"/>
        </w:rPr>
        <w:t xml:space="preserve">開發紀錄 (Development Log)</w:t>
      </w:r>
    </w:p>
    <w:p>
      <w:pPr>
        <w:jc w:val="center"/>
      </w:pPr>
      <w:r>
        <w:rPr>
          <w:sz w:val="24"/>
          <w:szCs w:val="24"/>
        </w:rPr>
        <w:t xml:space="preserve">作者：Sider　|　den35222@gmail.com</w:t>
      </w:r>
    </w:p>
    <w:p>
      <w:pPr>
        <w:spacing w:after="400"/>
        <w:jc w:val="center"/>
      </w:pPr>
      <w:r>
        <w:rPr>
          <w:sz w:val="24"/>
          <w:szCs w:val="24"/>
        </w:rPr>
        <w:t xml:space="preserve">建立日期：2026-06-20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2026-06-20 版本更新 — 資料管線初版建置</w:t>
      </w:r>
    </w:p>
    <w:p>
      <w:r>
        <w:rPr>
          <w:b/>
          <w:bCs/>
        </w:rPr>
        <w:t xml:space="preserve">摘要：</w:t>
      </w:r>
      <w:r>
        <w:t xml:space="preserve">建立四大產業台股 Alpha 策略的資料下載與品質檢查管線；資料來源分工(股價與基本面皆 FinMind，TEJ 退居診斷)。</w:t>
      </w:r>
    </w:p>
    <w:p>
      <w:pPr>
        <w:pStyle w:val="Heading2"/>
      </w:pPr>
      <w:r>
        <w:t xml:space="preserve">重點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FinMind 客戶端(含自製還原)、抓取與檢查腳本；</w:t>
      </w:r>
      <w:r>
        <w:t xml:space="preserve">Bug：無token截斷→補token、停牌日close=0→剔除、後復權係數→改用after/before_price。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2026-06-23 版本更新 — 特徵工程、因子海選(DFS/GP)與回測建置</w:t>
      </w:r>
    </w:p>
    <w:p>
      <w:r>
        <w:rPr>
          <w:b/>
          <w:bCs/>
        </w:rPr>
        <w:t xml:space="preserve">摘要：</w:t>
      </w:r>
      <w:r>
        <w:t xml:space="preserve">發布日對齊(PIT)、月頻因子評估(產業內IC/ICIR)、DFS機械式海選、對稱正交化+產業內回測；嚴格切訓練/測試防過擬合。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DFS 成功；GP 因跨種子不穩定、warm-start 仍輸單因子基準而棄用(過擬合)。</w:t>
      </w:r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2026-06-23 版本更新 — 初版最終策略(2018–2026)</w:t>
      </w:r>
    </w:p>
    <w:p>
      <w:r>
        <w:rPr>
          <w:b/>
          <w:bCs/>
        </w:rPr>
        <w:t xml:space="preserve">摘要：</w:t>
      </w:r>
      <w:r>
        <w:t xml:space="preserve">集中度掃描+動能加權定出初版(前10%+動能)；但測試期僅29個月且單一多頭，t&lt;2，促成擴大樣本。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2026-06-25 版本更新 — 擴充至2012、加入資產負債表/現金流量表與多基準回測</w:t>
      </w:r>
    </w:p>
    <w:p>
      <w:r>
        <w:rPr>
          <w:b/>
          <w:bCs/>
        </w:rPr>
        <w:t xml:space="preserve">摘要：</w:t>
      </w:r>
      <w:r>
        <w:t xml:space="preserve">資料擴至2012–2026、測試移到2020–2026(含COVID/2022空頭/2024多頭)使檢定力大增；整合資產負債表與現金流量表、新增基本面因子；建立0050與大盤/櫃買報酬指數多基準比較。</w:t>
      </w:r>
    </w:p>
    <w:p>
      <w:pPr>
        <w:pStyle w:val="Heading2"/>
      </w:pPr>
      <w:r>
        <w:t xml:space="preserve">最終策略使用的因子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700"/>
        <w:gridCol w:w="5000"/>
      </w:tblGrid>
      <w:tr>
        <w:trPr>
          <w:tblHeader/>
        </w:trP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因子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定義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gp_to_px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價值/獲利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營業毛利 ÷ 原始股價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fcf_yield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價值/現金流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(營業現金流 − 資本支出) ÷ 市值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bp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價值/淨值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歸屬母公司權益 ÷ 市值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quality_score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品質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Piotroski 風格綜合分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neg_accruals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品質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−(淨利 − 營業現金流) ÷ 總資產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neg_vol_63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低波動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−63日報酬波動率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dist_high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動能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收盤 ÷ 一年最高收盤 − 1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g_eps_12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成長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EPS 年增率</w:t>
            </w:r>
          </w:p>
        </w:tc>
      </w:tr>
    </w:tbl>
    <w:p>
      <w:pPr>
        <w:pStyle w:val="Heading2"/>
      </w:pPr>
      <w:r>
        <w:t xml:space="preserve">最終績效與多基準超額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00"/>
        <w:gridCol w:w="1300"/>
        <w:gridCol w:w="1500"/>
        <w:gridCol w:w="2300"/>
      </w:tblGrid>
      <w:tr>
        <w:trPr>
          <w:tblHeader/>
        </w:trP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CAGR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Sharpe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MaxDD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vs等權超額(t)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全期 多方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25.63%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1.69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−18.58%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+6.63% (3.29)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測試 多方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31.37%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1.80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−12.83%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+4.94% (1.37)</w:t>
            </w:r>
          </w:p>
        </w:tc>
      </w:tr>
    </w:tbl>
    <w:p>
      <w:pPr>
        <w:pStyle w:val="ListParagraph"/>
        <w:numPr>
          <w:ilvl w:val="0"/>
          <w:numId w:val="2"/>
        </w:numPr>
      </w:pPr>
      <w:r>
        <w:t xml:space="preserve">相對0050/大盤(TAIEX TR)：報酬打平到小贏，但Sharpe高一截、回撤約一半；賣點是『更穩』而非『更猛』。有真實顯著的選股alpha(vs等權)。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2026-06-25 版本更新 — 配重方法研究與方法論補強（策略不變）</w:t>
      </w:r>
    </w:p>
    <w:p>
      <w:r>
        <w:rPr>
          <w:b/>
          <w:bCs/>
        </w:rPr>
        <w:t xml:space="preserve">摘要：</w:t>
      </w:r>
      <w:r>
        <w:t xml:space="preserve">比較等權/動能/分數/單因子配重，維持『動能(排名)加權』；把報酬與配重的計算細節文件化。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維持動能加權：</w:t>
      </w:r>
      <w:r>
        <w:t xml:space="preserve">事先假設、訓練Sharpe最高、與選股核心正交。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拒絕 quality_score 配重(雖測試t最高)：</w:t>
      </w:r>
      <w:r>
        <w:t xml:space="preserve">若因它測試最好而採用＝用測試集挑參數(snooping)。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動能加權為排名(ordinal)配重：</w:t>
      </w:r>
      <w:r>
        <w:t xml:space="preserve">只看名次不看分數差距；個股等權(非產業等權，偏電子)。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2026-06-25 版本更新 — 機器學習延伸（LightGBM 因子模型）+ 壓力測試</w:t>
      </w:r>
    </w:p>
    <w:p>
      <w:r>
        <w:rPr>
          <w:b/>
          <w:bCs/>
        </w:rPr>
        <w:t xml:space="preserve">摘要：</w:t>
      </w:r>
      <w:r>
        <w:t xml:space="preserve">把等權線性合成升級為 LightGBM ML 模型（對接 ML Engineer(Quant) 職缺核心）；以 walk-forward + embargo 時序CV 產生樣本外分數，比較 等權/Ridge/LightGBM；並做規模中性與成本敏感度壓力測試。程式獨立於 src/ml/。</w:t>
      </w:r>
    </w:p>
    <w:p>
      <w:pPr>
        <w:pStyle w:val="Heading2"/>
      </w:pPr>
      <w:r>
        <w:t xml:space="preserve">新增功能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src/ml/ml_model.py：</w:t>
      </w:r>
      <w:r>
        <w:t xml:space="preserve">85因子為特徵、未來報酬(產業內去均值)為label；walk-forward + embargo 時序CV(防洩漏)；等權/Ridge/LightGBM 階梯比較；feature importance + SHAP；規模中性版與成本敏感度掃描。</w:t>
      </w:r>
    </w:p>
    <w:p>
      <w:pPr>
        <w:pStyle w:val="Heading2"/>
      </w:pPr>
      <w:r>
        <w:t xml:space="preserve">模型階梯比較（樣本外約 2016–2026）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00"/>
        <w:gridCol w:w="1300"/>
        <w:gridCol w:w="1300"/>
        <w:gridCol w:w="1400"/>
        <w:gridCol w:w="1300"/>
      </w:tblGrid>
      <w:tr>
        <w:trPr>
          <w:tblHeader/>
        </w:trP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模型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ICIR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CAGR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Sharpe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MaxDD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換手/月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等權 baseline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0.646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24.73%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1.25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−23.34%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45.8%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Ridge 線性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0.622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30.66%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1.71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−19.51%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58.4%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LightGBM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0.851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41.94%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1.93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−17.14%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74.1%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LightGBM(規模中性)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0.937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39.25%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1.79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−19.70%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75.6%</w:t>
            </w:r>
          </w:p>
        </w:tc>
      </w:tr>
    </w:tbl>
    <w:p>
      <w:pPr>
        <w:pStyle w:val="Heading2"/>
      </w:pPr>
      <w:r>
        <w:t xml:space="preserve">壓力測試（驗證 edge 成色）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規模中性：</w:t>
      </w:r>
      <w:r>
        <w:t xml:space="preserve">拿掉 liq_amt/neg_size 後 edge 依然勝過線性與等權(ICIR 反升 0.937) → 不是靠小型股傾斜。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成本敏感度(LightGBM)：</w:t>
      </w:r>
      <w:r>
        <w:t xml:space="preserve">0.4%→CAGR42%/SR1.93；0.8%→37%/1.75；1.2%→32%/1.56；1.6%→28%/1.38 → 優雅衰退。</w:t>
      </w:r>
    </w:p>
    <w:p>
      <w:pPr>
        <w:pStyle w:val="Heading2"/>
      </w:pPr>
      <w:r>
        <w:t xml:space="preserve">關鍵決策與誠實限制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為何 GBDT 非深度學習：</w:t>
      </w:r>
      <w:r>
        <w:t xml:space="preserve">本資料約168個獨立月份、訊噪比低 → GBDT對表格資料強、可解釋；LSTM/TCN/Transformer 需大量高訊噪(高頻/order-flow)資料，非月頻因子。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誠實限制：</w:t>
      </w:r>
      <w:r>
        <w:t xml:space="preserve">LightGBM 換手74%/月(容量有限、成本敏感)；純多方(含beta)；尚未做 DSR/PBO 與對大盤/0050 超額比較。</w:t>
      </w:r>
    </w:p>
    <w:p>
      <w:pPr>
        <w:pStyle w:val="Heading2"/>
      </w:pPr>
      <w:r>
        <w:t xml:space="preserve">後續待辦</w:t>
      </w:r>
    </w:p>
    <w:p>
      <w:pPr>
        <w:pStyle w:val="ListParagraph"/>
        <w:numPr>
          <w:ilvl w:val="0"/>
          <w:numId w:val="2"/>
        </w:numPr>
      </w:pPr>
      <w:r>
        <w:t xml:space="preserve">DSR(Deflated Sharpe)/PBO 正式過擬合檢定；ML 策略對照 0050/大盤報酬指數比超額；降低換手(分數平滑/交易緩衝)提升容量；延伸外匯/貴金屬時間序列多空。</w:t>
      </w:r>
    </w:p>
    <w:sectPr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4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16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2026-07-07T10:36:06.563Z</dcterms:created>
  <dcterms:modified xsi:type="dcterms:W3CDTF">2026-07-07T10:36:06.564Z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