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sz w:val="52"/>
          <w:szCs w:val="52"/>
        </w:rPr>
        <w:t xml:space="preserve">台股 Alpha 策略</w:t>
      </w:r>
    </w:p>
    <w:p>
      <w:pPr>
        <w:spacing w:after="1200"/>
        <w:jc w:val="center"/>
      </w:pPr>
      <w:r>
        <w:rPr>
          <w:color w:val="555555"/>
          <w:sz w:val="32"/>
          <w:szCs w:val="32"/>
        </w:rPr>
        <w:t xml:space="preserve">開發紀錄 (Development Log)</w:t>
      </w:r>
    </w:p>
    <w:p>
      <w:pPr>
        <w:jc w:val="center"/>
      </w:pPr>
      <w:r>
        <w:rPr>
          <w:sz w:val="24"/>
          <w:szCs w:val="24"/>
        </w:rPr>
        <w:t xml:space="preserve">作者：Sider　|　den35222@gmail.com</w:t>
      </w:r>
    </w:p>
    <w:p>
      <w:pPr>
        <w:spacing w:after="400"/>
        <w:jc w:val="center"/>
      </w:pPr>
      <w:r>
        <w:rPr>
          <w:sz w:val="24"/>
          <w:szCs w:val="24"/>
        </w:rPr>
        <w:t xml:space="preserve">建立日期：2026-06-20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2026-06-20 版本更新 — 資料管線初版建置</w:t>
      </w:r>
    </w:p>
    <w:p>
      <w:r>
        <w:rPr>
          <w:b/>
          <w:bCs/>
        </w:rPr>
        <w:t xml:space="preserve">摘要：</w:t>
      </w:r>
      <w:r>
        <w:t xml:space="preserve">四大產業台股 Alpha 策略的資料下載與品質檢查管線；股價與基本面皆 FinMind，TEJ 退居診斷。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FinMind 客戶端(含自製還原)、抓取與檢查腳本；</w:t>
      </w:r>
      <w:r>
        <w:t xml:space="preserve">Bug：無token截斷/停牌日close=0/後復權係數 已修。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2026-06-23 版本更新 — 特徵工程、因子海選(DFS/GP)與回測建置</w:t>
      </w:r>
    </w:p>
    <w:p>
      <w:r>
        <w:rPr>
          <w:b/>
          <w:bCs/>
        </w:rPr>
        <w:t xml:space="preserve">摘要：</w:t>
      </w:r>
      <w:r>
        <w:t xml:space="preserve">發布日對齊(PIT)、產業內IC/ICIR、DFS海選、對稱正交化+產業內回測；GP 因過擬合棄用。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2026-06-23 版本更新 — 初版最終策略(2018–2026)</w:t>
      </w:r>
    </w:p>
    <w:p>
      <w:r>
        <w:rPr>
          <w:b/>
          <w:bCs/>
        </w:rPr>
        <w:t xml:space="preserve">摘要：</w:t>
      </w:r>
      <w:r>
        <w:t xml:space="preserve">前10%+動能加權；但測試期僅29個月且單一多頭 t&lt;2，促成擴大樣本。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2026-06-25 版本更新 — 擴充至2012、加入資產負債表/現金流量表與多基準回測</w:t>
      </w:r>
    </w:p>
    <w:p>
      <w:r>
        <w:rPr>
          <w:b/>
          <w:bCs/>
        </w:rPr>
        <w:t xml:space="preserve">摘要：</w:t>
      </w:r>
      <w:r>
        <w:t xml:space="preserve">資料擴至2012–2026、測試移到2020–2026；整合資負/現金流、新增基本面因子；建立0050/大盤/櫃買多基準比較。</w:t>
      </w:r>
    </w:p>
    <w:p>
      <w:pPr>
        <w:pStyle w:val="Heading2"/>
      </w:pPr>
      <w:r>
        <w:t xml:space="preserve">最終策略使用的因子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700"/>
        <w:gridCol w:w="5000"/>
      </w:tblGrid>
      <w:tr>
        <w:trPr>
          <w:tblHeader/>
        </w:trP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因子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定義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gp_to_px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價值/獲利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營業毛利 ÷ 原始股價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fcf_yield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價值/現金流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(營業現金流−資本支出)÷市值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bp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價值/淨值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歸屬母公司權益 ÷ 市值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quality_score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品質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Piotroski 風格綜合分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neg_accruals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品質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−(淨利−營業現金流)÷總資產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neg_vol_63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低波動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−63日報酬波動率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dist_high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動能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收盤 ÷ 一年最高收盤 − 1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g_eps_12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成長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EPS 年增率</w:t>
            </w:r>
          </w:p>
        </w:tc>
      </w:tr>
    </w:tbl>
    <w:p>
      <w:pPr>
        <w:pStyle w:val="Heading2"/>
      </w:pPr>
      <w:r>
        <w:t xml:space="preserve">最終績效與多基準超額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1300"/>
        <w:gridCol w:w="1500"/>
        <w:gridCol w:w="2300"/>
      </w:tblGrid>
      <w:tr>
        <w:trPr>
          <w:tblHeader/>
        </w:trP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CAGR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Sharpe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MaxDD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vs等權超額(t)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全期 多方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25.63%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1.69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−18.58%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+6.63% (3.29)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測試 多方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31.37%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1.80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−12.83%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+4.94% (1.37)</w:t>
            </w:r>
          </w:p>
        </w:tc>
      </w:tr>
    </w:tbl>
    <w:p>
      <w:pPr>
        <w:pStyle w:val="ListParagraph"/>
        <w:numPr>
          <w:ilvl w:val="0"/>
          <w:numId w:val="2"/>
        </w:numPr>
      </w:pPr>
      <w:r>
        <w:t xml:space="preserve">相對0050/大盤(TAIEX TR)：報酬打平到小贏、但Sharpe高一截、回撤約一半。有真實顯著的選股alpha(vs等權)。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2026-06-25 版本更新 — 配重方法研究與方法論補強（策略不變）</w:t>
      </w:r>
    </w:p>
    <w:p>
      <w:r>
        <w:rPr>
          <w:b/>
          <w:bCs/>
        </w:rPr>
        <w:t xml:space="preserve">摘要：</w:t>
      </w:r>
      <w:r>
        <w:t xml:space="preserve">比較等權/動能/分數/單因子配重，維持動能(排名)加權；拒絕挑測試最高者(snooping)；計算細節文件化。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2026-06-25 版本更新 — 機器學習延伸（LightGBM 因子模型）</w:t>
      </w:r>
    </w:p>
    <w:p>
      <w:r>
        <w:rPr>
          <w:b/>
          <w:bCs/>
        </w:rPr>
        <w:t xml:space="preserve">摘要：</w:t>
      </w:r>
      <w:r>
        <w:t xml:space="preserve">把等權線性合成升級為 LightGBM；walk-forward + embargo 時序CV；比較 等權/Ridge/LightGBM；規模中性與成本敏感度。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1400"/>
        <w:gridCol w:w="1400"/>
        <w:gridCol w:w="1400"/>
      </w:tblGrid>
      <w:tr>
        <w:trPr>
          <w:tblHeader/>
        </w:trP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模型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ICIR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CAGR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Sharpe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換手/月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等權 baseline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0.646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24.73%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1.25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45.8%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Ridge 線性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0.622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30.66%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1.71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58.4%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LightGBM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0.851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41.94%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1.93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74.1%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LightGBM(規模中性)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0.937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39.25%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1.79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75.6%</w:t>
            </w:r>
          </w:p>
        </w:tc>
      </w:tr>
    </w:tbl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為何 GBDT 非深度學習：</w:t>
      </w:r>
      <w:r>
        <w:t xml:space="preserve">~168個獨立月份、低訊噪 → GBDT對；LSTM/TCN/Transformer 需大量高訊噪(高頻/order-flow)資料。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2026-06-25 版本更新 — ML 模型的誠實驗證（DSR/PBO、流動性、régime）</w:t>
      </w:r>
    </w:p>
    <w:p>
      <w:r>
        <w:rPr>
          <w:b/>
          <w:bCs/>
        </w:rPr>
        <w:t xml:space="preserve">摘要：</w:t>
      </w:r>
      <w:r>
        <w:t xml:space="preserve">對 LightGBM 帳面高 IR(2.85) 做完整祛魅：Deflated Sharpe/PBO 排除搜尋過擬合、流動性歸因與過濾拆出小型股假象、régime 分解揭露 alpha 集中於多頭。結論：可交易 IR≈0.9 且régime依賴。程式在 src/ml/。</w:t>
      </w:r>
    </w:p>
    <w:p>
      <w:pPr>
        <w:pStyle w:val="Heading2"/>
      </w:pPr>
      <w:r>
        <w:t xml:space="preserve">新增功能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ml_validation.py：</w:t>
      </w:r>
      <w:r>
        <w:t xml:space="preserve">對『超額報酬(剝離beta)』計算 Deflated Sharpe + PBO(CSCV)。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ml_liquidity.py：</w:t>
      </w:r>
      <w:r>
        <w:t xml:space="preserve">流動性歸因(分層貢獻/貢獻個股) + 流動性過濾×成本。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ml_regime.py：</w:t>
      </w:r>
      <w:r>
        <w:t xml:space="preserve">依大盤漲跌拆分超額 IR/t + 逐年超額。</w:t>
      </w:r>
    </w:p>
    <w:p>
      <w:pPr>
        <w:pStyle w:val="Heading2"/>
      </w:pPr>
      <w:r>
        <w:t xml:space="preserve">過擬合正式檢定（對超額報酬）</w:t>
      </w:r>
    </w:p>
    <w:p>
      <w:pPr>
        <w:pStyle w:val="ListParagraph"/>
        <w:numPr>
          <w:ilvl w:val="0"/>
          <w:numId w:val="2"/>
        </w:numPr>
      </w:pPr>
      <w:r>
        <w:t xml:space="preserve">Deflated Sharpe = 1.000；PBO(CSCV) = 0.000 → 排除『搜尋/多重測試過擬合』。惟 DSR/PBO 只排除此一失敗，不檢驗流動性與執行寫實——那才是帳面 IR 過高的真兇。</w:t>
      </w:r>
    </w:p>
    <w:p>
      <w:pPr>
        <w:pStyle w:val="Heading2"/>
      </w:pPr>
      <w:r>
        <w:t xml:space="preserve">流動性過濾 × 成本（超額）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1400"/>
        <w:gridCol w:w="1400"/>
        <w:gridCol w:w="1400"/>
      </w:tblGrid>
      <w:tr>
        <w:trPr>
          <w:tblHeader/>
        </w:trP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剔除底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超額CAGR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超額t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年化IR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Sharpe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0%(全體)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18.1%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9.19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2.85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1.94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30%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17.2%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7.55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2.34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1.62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50%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16.7%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5.97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1.85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1.42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70%(最流動30%)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10.7%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2.88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0.89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1.10</w:t>
            </w:r>
          </w:p>
        </w:tc>
      </w:tr>
    </w:tbl>
    <w:p>
      <w:pPr>
        <w:pStyle w:val="ListParagraph"/>
        <w:numPr>
          <w:ilvl w:val="0"/>
          <w:numId w:val="2"/>
        </w:numPr>
      </w:pPr>
      <w:r>
        <w:t xml:space="preserve">帳面 IR 2.85 被高估約3倍(小型股高離散度+理想化成交)；限制在可交易的最流動30%後 IR≈0.9、超額~11%/年、t=2.88 仍顯著。</w:t>
      </w:r>
    </w:p>
    <w:p>
      <w:pPr>
        <w:pStyle w:val="Heading2"/>
      </w:pPr>
      <w:r>
        <w:t xml:space="preserve">régime 分解（超額 IR）— 最關鍵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1600"/>
        <w:gridCol w:w="1600"/>
        <w:gridCol w:w="160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版本＼狀態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全部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大盤上漲月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大盤下跌月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最差25%月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全體 IR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2.85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3.02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2.52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3.28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可交易 IR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0.89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1.25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0.08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0.18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可交易 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2.88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3.20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0.16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0.29</w:t>
            </w:r>
          </w:p>
        </w:tc>
      </w:tr>
    </w:tbl>
    <w:p>
      <w:pPr>
        <w:pStyle w:val="ListParagraph"/>
        <w:numPr>
          <w:ilvl w:val="0"/>
          <w:numId w:val="2"/>
        </w:numPr>
      </w:pPr>
      <w:r>
        <w:t xml:space="preserve">可交易 alpha 幾乎全集中在『大盤上漲月』(IR1.25/t3.20)，下跌月≈0(IR0.08/t0.16/勝率47.8%)，逐年集中在2020/2021/2026多頭年。空頭時流動大型股齊跌、離散度低，選股無發揮。</w:t>
      </w:r>
    </w:p>
    <w:p>
      <w:pPr>
        <w:pStyle w:val="Heading2"/>
      </w:pPr>
      <w:r>
        <w:t xml:space="preserve">誠實結論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帳面 IR 2.85 → 可交易 IR ~0.9 → 且集中在多頭/高離散度環境。</w:t>
      </w:r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定性：一個在多頭有效、偏多的因子傾斜，而非能在下跌保護的市場中性 alpha。DSR/PBO 排除搜尋過擬合，但此 edge 為régime依賴、非全天候。</w:t>
      </w:r>
    </w:p>
    <w:p>
      <w:pPr>
        <w:pStyle w:val="Heading2"/>
      </w:pPr>
      <w:r>
        <w:t xml:space="preserve">後續待辦</w:t>
      </w:r>
    </w:p>
    <w:p>
      <w:pPr>
        <w:pStyle w:val="ListParagraph"/>
        <w:numPr>
          <w:ilvl w:val="0"/>
          <w:numId w:val="2"/>
        </w:numPr>
      </w:pPr>
      <w:r>
        <w:t xml:space="preserve">多空/市場中性版；régime 過濾/防禦性配置；降低換手提升容量；延伸外匯/貴金屬時間序列多空。</w:t>
      </w:r>
    </w:p>
    <w:sectPr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4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16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2026-07-07T13:14:35.586Z</dcterms:created>
  <dcterms:modified xsi:type="dcterms:W3CDTF">2026-07-07T13:14:35.586Z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