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B2542C"/>
          <w:sz w:val="22"/>
          <w:szCs w:val="22"/>
        </w:rPr>
        <w:t xml:space="preserve">STORY MAP BUILD GUIDE  ·  v3</w:t>
      </w:r>
    </w:p>
    <w:p>
      <w:pPr>
        <w:spacing w:after="40"/>
      </w:pPr>
      <w:r>
        <w:rPr>
          <w:b/>
          <w:bCs/>
          <w:color w:val="1B3A4B"/>
          <w:sz w:val="72"/>
          <w:szCs w:val="72"/>
        </w:rPr>
        <w:t xml:space="preserve">Mind the Gap</w:t>
      </w:r>
    </w:p>
    <w:p>
      <w:pPr>
        <w:spacing w:after="280"/>
      </w:pPr>
      <w:r>
        <w:rPr>
          <w:color w:val="1B3A4B"/>
          <w:sz w:val="32"/>
          <w:szCs w:val="32"/>
        </w:rPr>
        <w:t xml:space="preserve">Lessons from Denver to Rebuild Your Sidewalk Network</w:t>
      </w:r>
    </w:p>
    <w:p>
      <w:pPr>
        <w:pBdr>
          <w:bottom w:val="single" w:color="1B3A4B" w:sz="8" w:space="6"/>
        </w:pBdr>
        <w:spacing w:after="200" w:before="80"/>
      </w:pPr>
      <w:r>
        <w:t xml:space="preserve"/>
      </w:r>
    </w:p>
    <w:p>
      <w:pPr>
        <w:spacing w:after="120"/>
      </w:pPr>
      <w:r>
        <w:rPr>
          <w:sz w:val="22"/>
          <w:szCs w:val="22"/>
        </w:rPr>
        <w:t xml:space="preserve">Section-by-section build guide for the ArcGIS Story Map. Every section specifies: the block type, the on-screen narrative (paste-ready), the visual that pairs with it, the underlying data, and production notes for the builder.</w:t>
      </w:r>
    </w:p>
    <w:p>
      <w:pPr>
        <w:spacing w:after="120"/>
      </w:pPr>
      <w:r>
        <w:t xml:space="preserve"/>
      </w:r>
    </w:p>
    <w:p>
      <w:pPr>
        <w:spacing w:after="60"/>
      </w:pPr>
      <w:r>
        <w:rPr>
          <w:b/>
          <w:bCs/>
          <w:color w:val="B2542C"/>
          <w:sz w:val="18"/>
          <w:szCs w:val="18"/>
        </w:rPr>
        <w:t xml:space="preserve">Authors  </w:t>
      </w:r>
      <w:r>
        <w:rPr>
          <w:color w:val="5C5C5C"/>
          <w:sz w:val="18"/>
          <w:szCs w:val="18"/>
        </w:rPr>
        <w:t xml:space="preserve">Taylor Lucas &amp; Robert Sells</w:t>
      </w:r>
    </w:p>
    <w:p>
      <w:pPr>
        <w:spacing w:after="60"/>
      </w:pPr>
      <w:r>
        <w:rPr>
          <w:b/>
          <w:bCs/>
          <w:color w:val="B2542C"/>
          <w:sz w:val="18"/>
          <w:szCs w:val="18"/>
        </w:rPr>
        <w:t xml:space="preserve">Client  </w:t>
      </w:r>
      <w:r>
        <w:rPr>
          <w:color w:val="5C5C5C"/>
          <w:sz w:val="18"/>
          <w:szCs w:val="18"/>
        </w:rPr>
        <w:t xml:space="preserve">Fehr &amp; Peers</w:t>
      </w:r>
    </w:p>
    <w:p>
      <w:pPr>
        <w:spacing w:after="60"/>
      </w:pPr>
      <w:r>
        <w:rPr>
          <w:b/>
          <w:bCs/>
          <w:color w:val="B2542C"/>
          <w:sz w:val="18"/>
          <w:szCs w:val="18"/>
        </w:rPr>
        <w:t xml:space="preserve">Program  </w:t>
      </w:r>
      <w:r>
        <w:rPr>
          <w:color w:val="5C5C5C"/>
          <w:sz w:val="18"/>
          <w:szCs w:val="18"/>
        </w:rPr>
        <w:t xml:space="preserve">MURP Capstone, University of Colorado Denver</w:t>
      </w:r>
    </w:p>
    <w:p>
      <w:pPr>
        <w:spacing w:after="60"/>
      </w:pPr>
      <w:r>
        <w:rPr>
          <w:b/>
          <w:bCs/>
          <w:color w:val="B2542C"/>
          <w:sz w:val="18"/>
          <w:szCs w:val="18"/>
        </w:rPr>
        <w:t xml:space="preserve">Length target  </w:t>
      </w:r>
      <w:r>
        <w:rPr>
          <w:color w:val="5C5C5C"/>
          <w:sz w:val="18"/>
          <w:szCs w:val="18"/>
        </w:rPr>
        <w:t xml:space="preserve">13 sections · ~10-minute read</w:t>
      </w:r>
    </w:p>
    <w:p>
      <w:pPr>
        <w:spacing w:after="60"/>
      </w:pPr>
      <w:r>
        <w:rPr>
          <w:b/>
          <w:bCs/>
          <w:color w:val="B2542C"/>
          <w:sz w:val="18"/>
          <w:szCs w:val="18"/>
        </w:rPr>
        <w:t xml:space="preserve">Primary blocks  </w:t>
      </w:r>
      <w:r>
        <w:rPr>
          <w:color w:val="5C5C5C"/>
          <w:sz w:val="18"/>
          <w:szCs w:val="18"/>
        </w:rPr>
        <w:t xml:space="preserve">Sidecar, Swipe, Timeline</w:t>
      </w:r>
    </w:p>
    <w:p>
      <w:pPr>
        <w:spacing w:after="60"/>
      </w:pPr>
      <w:r>
        <w:rPr>
          <w:b/>
          <w:bCs/>
          <w:color w:val="B2542C"/>
          <w:sz w:val="18"/>
          <w:szCs w:val="18"/>
        </w:rPr>
        <w:t xml:space="preserve">Fonts  </w:t>
      </w:r>
      <w:r>
        <w:rPr>
          <w:color w:val="5C5C5C"/>
          <w:sz w:val="18"/>
          <w:szCs w:val="18"/>
        </w:rPr>
        <w:t xml:space="preserve">Aptos Display (titles) / Aptos (body)</w:t>
      </w:r>
    </w:p>
    <w:p>
      <w:pPr>
        <w:spacing w:after="120"/>
      </w:pPr>
      <w:r>
        <w:t xml:space="preserve"/>
      </w:r>
    </w:p>
    <w:p>
      <w:pPr>
        <w:pStyle w:val="Heading3"/>
        <w:spacing w:after="80" w:before="200"/>
      </w:pPr>
      <w:r>
        <w:rPr>
          <w:b/>
          <w:bCs/>
          <w:color w:val="B2542C"/>
          <w:sz w:val="24"/>
          <w:szCs w:val="24"/>
        </w:rPr>
        <w:t xml:space="preserve">What changed from v2</w:t>
      </w:r>
    </w:p>
    <w:p>
      <w:pPr>
        <w:spacing w:after="120"/>
      </w:pPr>
      <w:r>
        <w:rPr>
          <w:sz w:val="22"/>
          <w:szCs w:val="22"/>
        </w:rPr>
        <w:t xml:space="preserve">This version is rebuilt around the analytical spine of the final capstone draft. Three structural changes:</w:t>
      </w:r>
    </w:p>
    <w:p>
      <w:pPr>
        <w:pStyle w:val="ListParagraph"/>
        <w:numPr>
          <w:ilvl w:val="0"/>
          <w:numId w:val="2"/>
        </w:numPr>
        <w:spacing w:after="60"/>
      </w:pPr>
      <w:r>
        <w:rPr>
          <w:sz w:val="22"/>
          <w:szCs w:val="22"/>
        </w:rPr>
        <w:t xml:space="preserve">PATH DEPENDENCY IS THE HEADLINE. Section 5.1 of the capstone identifies path dependency — the era a neighborhood was built determines its sidewalk fate — as the central explanatory mechanism. v2 led with equity. v3 leads with development eras, which is both your real argument and the more persuasive one for skeptical audiences.</w:t>
      </w:r>
    </w:p>
    <w:p>
      <w:pPr>
        <w:pStyle w:val="ListParagraph"/>
        <w:numPr>
          <w:ilvl w:val="0"/>
          <w:numId w:val="2"/>
        </w:numPr>
        <w:spacing w:after="60"/>
      </w:pPr>
      <w:r>
        <w:rPr>
          <w:sz w:val="22"/>
          <w:szCs w:val="22"/>
        </w:rPr>
        <w:t xml:space="preserve">EQUITY IS HONESTLY FRAMED. The capstone's Section 4.3 finding is more nuanced than v2 captured: 61% of Denver's gaps and 62% of Seattle's gaps fall in HOLC-ungraded car-era areas, not in redlined neighborhoods. v3 presents equity as one of three layers (redlined cores, ungraded car-era peripheries, transit proximity), explicitly notes Seattle's inverted pattern, and avoids overclaiming. This is what your data actually says, and it's also what convinces practitioners who don't want to be preached at.</w:t>
      </w:r>
    </w:p>
    <w:p>
      <w:pPr>
        <w:pStyle w:val="ListParagraph"/>
        <w:numPr>
          <w:ilvl w:val="0"/>
          <w:numId w:val="2"/>
        </w:numPr>
        <w:spacing w:after="60"/>
      </w:pPr>
      <w:r>
        <w:rPr>
          <w:sz w:val="22"/>
          <w:szCs w:val="22"/>
        </w:rPr>
        <w:t xml:space="preserve">THE GOVERNANCE TYPOLOGY IS YOURS. v2 used five made-up models. v3 uses the eight-model typology from Chapter 5.3 (public ownership, utility fee, dedicated annual fee, property tax millage, parcel tax, improvement district, inspection-and-bill, general levy), drawn from the Denver City Council Legislative Services research and your own comparative inventory.</w:t>
      </w:r>
    </w:p>
    <w:p>
      <w:pPr>
        <w:spacing w:after="120"/>
      </w:pPr>
      <w:r>
        <w:t xml:space="preserve"/>
      </w:r>
    </w:p>
    <w:p>
      <w:pPr>
        <w:spacing w:after="120"/>
      </w:pPr>
      <w:r>
        <w:rPr>
          <w:sz w:val="22"/>
          <w:szCs w:val="22"/>
        </w:rPr>
        <w:t xml:space="preserve">Other refinements: Seattle's walkway program is added as a reform-pathway tool (per Section 5.1). Minneapolis's inspection-and-bill model is foregrounded as a hybrid pathway that works without full ballot reform. Per-section references to the capstone are added so the Story Map reads as a faithful translation of the report rather than a reinterpretation of it.</w:t>
      </w:r>
    </w:p>
    <w:p>
      <w:r>
        <w:br w:type="page"/>
      </w:r>
    </w:p>
    <w:p>
      <w:pPr>
        <w:pStyle w:val="Heading1"/>
        <w:spacing w:after="160" w:before="360"/>
      </w:pPr>
      <w:r>
        <w:rPr>
          <w:b/>
          <w:bCs/>
          <w:color w:val="1B3A4B"/>
          <w:sz w:val="36"/>
          <w:szCs w:val="36"/>
        </w:rPr>
        <w:t xml:space="preserve">How to Use This Guide</w:t>
      </w:r>
    </w:p>
    <w:p>
      <w:pPr>
        <w:spacing w:after="120"/>
      </w:pPr>
      <w:r>
        <w:rPr>
          <w:sz w:val="22"/>
          <w:szCs w:val="22"/>
        </w:rPr>
        <w:t xml:space="preserve">Each numbered section corresponds to one Story Map section in ArcGIS. Each provides:</w:t>
      </w:r>
    </w:p>
    <w:p>
      <w:pPr>
        <w:pStyle w:val="ListParagraph"/>
        <w:numPr>
          <w:ilvl w:val="0"/>
          <w:numId w:val="2"/>
        </w:numPr>
        <w:spacing w:after="60"/>
      </w:pPr>
      <w:r>
        <w:rPr>
          <w:sz w:val="22"/>
          <w:szCs w:val="22"/>
        </w:rPr>
        <w:t xml:space="preserve">BLOCK — which Story Map block type to use</w:t>
      </w:r>
    </w:p>
    <w:p>
      <w:pPr>
        <w:pStyle w:val="ListParagraph"/>
        <w:numPr>
          <w:ilvl w:val="0"/>
          <w:numId w:val="2"/>
        </w:numPr>
        <w:spacing w:after="60"/>
      </w:pPr>
      <w:r>
        <w:rPr>
          <w:sz w:val="22"/>
          <w:szCs w:val="22"/>
        </w:rPr>
        <w:t xml:space="preserve">ROLE — what the section does in the overall arc</w:t>
      </w:r>
    </w:p>
    <w:p>
      <w:pPr>
        <w:pStyle w:val="ListParagraph"/>
        <w:numPr>
          <w:ilvl w:val="0"/>
          <w:numId w:val="2"/>
        </w:numPr>
        <w:spacing w:after="60"/>
      </w:pPr>
      <w:r>
        <w:rPr>
          <w:sz w:val="22"/>
          <w:szCs w:val="22"/>
        </w:rPr>
        <w:t xml:space="preserve">ON-SCREEN TEXT — paste-ready copy in green-bordered PASTE blocks</w:t>
      </w:r>
    </w:p>
    <w:p>
      <w:pPr>
        <w:pStyle w:val="ListParagraph"/>
        <w:numPr>
          <w:ilvl w:val="0"/>
          <w:numId w:val="2"/>
        </w:numPr>
        <w:spacing w:after="60"/>
      </w:pPr>
      <w:r>
        <w:rPr>
          <w:sz w:val="22"/>
          <w:szCs w:val="22"/>
        </w:rPr>
        <w:t xml:space="preserve">VISUAL — what map, image, or graphic pairs with the text</w:t>
      </w:r>
    </w:p>
    <w:p>
      <w:pPr>
        <w:pStyle w:val="ListParagraph"/>
        <w:numPr>
          <w:ilvl w:val="0"/>
          <w:numId w:val="2"/>
        </w:numPr>
        <w:spacing w:after="60"/>
      </w:pPr>
      <w:r>
        <w:rPr>
          <w:sz w:val="22"/>
          <w:szCs w:val="22"/>
        </w:rPr>
        <w:t xml:space="preserve">BUILD NOTES — data layers, settings, production reminders</w:t>
      </w:r>
    </w:p>
    <w:p>
      <w:pPr>
        <w:spacing w:after="120"/>
      </w:pPr>
      <w:r>
        <w:t xml:space="preserve"/>
      </w:r>
    </w:p>
    <w:p>
      <w:pPr>
        <w:spacing w:after="120"/>
      </w:pPr>
      <w:r>
        <w:rPr>
          <w:sz w:val="22"/>
          <w:szCs w:val="22"/>
        </w:rPr>
        <w:t xml:space="preserve">Three callout types appear throughout: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NOTES — example</w:t>
            </w:r>
          </w:p>
          <w:p>
            <w:pPr>
              <w:spacing w:after="40"/>
            </w:pPr>
            <w:r>
              <w:rPr>
                <w:color w:val="5C5C5C"/>
                <w:sz w:val="20"/>
                <w:szCs w:val="20"/>
              </w:rPr>
              <w:t xml:space="preserve">Tan callout boxes contain production specs for the GIS builder.</w:t>
            </w:r>
          </w:p>
        </w:tc>
      </w:tr>
    </w:tbl>
    <w:p>
      <w:pPr>
        <w:spacing w:after="120"/>
      </w:pPr>
      <w:r>
        <w:t xml:space="preserve"/>
      </w:r>
    </w:p>
    <w:p>
      <w:pPr>
        <w:pBdr>
          <w:left w:val="single" w:color="2D6A4F" w:sz="12" w:space="8"/>
        </w:pBdr>
        <w:spacing w:after="120"/>
        <w:ind w:left="360"/>
      </w:pPr>
      <w:r>
        <w:rPr>
          <w:b/>
          <w:bCs/>
          <w:color w:val="2D6A4F"/>
          <w:sz w:val="18"/>
          <w:szCs w:val="18"/>
        </w:rPr>
        <w:t xml:space="preserve">PASTE  </w:t>
      </w:r>
      <w:r>
        <w:rPr>
          <w:sz w:val="22"/>
          <w:szCs w:val="22"/>
        </w:rPr>
        <w:t xml:space="preserve">Green-bordered blocks are paste-ready on-screen text. The exact words a reader sees.</w:t>
      </w:r>
    </w:p>
    <w:p>
      <w:pPr>
        <w:spacing w:after="100"/>
        <w:ind w:left="360"/>
      </w:pPr>
      <w:r>
        <w:rPr>
          <w:b/>
          <w:bCs/>
          <w:color w:val="8B0000"/>
          <w:sz w:val="18"/>
          <w:szCs w:val="18"/>
        </w:rPr>
        <w:t xml:space="preserve">⚠ VERIFY:  </w:t>
      </w:r>
      <w:r>
        <w:rPr>
          <w:color w:val="8B0000"/>
          <w:sz w:val="18"/>
          <w:szCs w:val="18"/>
        </w:rPr>
        <w:t xml:space="preserve">Statements in red are claims that need confirming against your underlying analysis before publication.</w:t>
      </w:r>
      <w:r>
        <w:rPr>
          <w:i/>
          <w:iCs/>
          <w:color w:val="5C5C5C"/>
          <w:sz w:val="18"/>
          <w:szCs w:val="18"/>
        </w:rPr>
        <w:t xml:space="preserve">  [Source: example flag]</w:t>
      </w:r>
    </w:p>
    <w:p>
      <w:r>
        <w:br w:type="page"/>
      </w:r>
    </w:p>
    <w:p>
      <w:pPr>
        <w:pStyle w:val="Heading1"/>
        <w:spacing w:after="160" w:before="360"/>
      </w:pPr>
      <w:r>
        <w:rPr>
          <w:b/>
          <w:bCs/>
          <w:color w:val="1B3A4B"/>
          <w:sz w:val="36"/>
          <w:szCs w:val="36"/>
        </w:rPr>
        <w:t xml:space="preserve">At a Glance</w:t>
      </w:r>
    </w:p>
    <w:p>
      <w:pPr>
        <w:spacing w:after="120"/>
      </w:pPr>
      <w:r>
        <w:rPr>
          <w:sz w:val="22"/>
          <w:szCs w:val="22"/>
        </w:rPr>
        <w:t xml:space="preserve">Thirteen sections, four acts. The argument spine: sidewalk gaps are the predictable consequence of when a neighborhood was built and how its city chose to fund pedestrian infrastructure. Both are governance choices. Both can be changed.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rPr>
          <w:tblHeader/>
        </w:trPr>
        <w:tc>
          <w:tcPr>
            <w:tcW w:type="dxa" w:w="72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w:t>
            </w:r>
          </w:p>
        </w:tc>
        <w:tc>
          <w:tcPr>
            <w:tcW w:type="dxa" w:w="216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Section</w:t>
            </w:r>
          </w:p>
        </w:tc>
        <w:tc>
          <w:tcPr>
            <w:tcW w:type="dxa" w:w="432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Role</w:t>
            </w:r>
          </w:p>
        </w:tc>
        <w:tc>
          <w:tcPr>
            <w:tcW w:type="dxa" w:w="216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Block</w:t>
            </w:r>
          </w:p>
        </w:tc>
      </w:tr>
      <w:tr>
        <w:tc>
          <w:tcPr>
            <w:tcW w:type="dxa" w:w="72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
            </w:r>
          </w:p>
        </w:tc>
        <w:tc>
          <w:tcPr>
            <w:tcW w:type="dxa" w:w="216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ACT I — THE ARGUMENT</w:t>
            </w:r>
          </w:p>
        </w:tc>
        <w:tc>
          <w:tcPr>
            <w:tcW w:type="dxa" w:w="432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
            </w:r>
          </w:p>
        </w:tc>
        <w:tc>
          <w:tcPr>
            <w:tcW w:type="dxa" w:w="216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
            </w:r>
          </w:p>
        </w:tc>
      </w:tr>
      <w:tr>
        <w:tc>
          <w:tcPr>
            <w:tcW w:type="dxa" w:w="7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Cover</w:t>
            </w:r>
          </w:p>
        </w:tc>
        <w:tc>
          <w:tcPr>
            <w:tcW w:type="dxa" w:w="43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Hook</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Cover</w:t>
            </w:r>
          </w:p>
        </w:tc>
      </w:tr>
      <w:tr>
        <w:tc>
          <w:tcPr>
            <w:tcW w:type="dxa" w:w="7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About This Guide</w:t>
            </w:r>
          </w:p>
        </w:tc>
        <w:tc>
          <w:tcPr>
            <w:tcW w:type="dxa" w:w="43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Frame &amp; navigation</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Text</w:t>
            </w:r>
          </w:p>
        </w:tc>
      </w:tr>
      <w:tr>
        <w:tc>
          <w:tcPr>
            <w:tcW w:type="dxa" w:w="7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The State of the Network</w:t>
            </w:r>
          </w:p>
        </w:tc>
        <w:tc>
          <w:tcPr>
            <w:tcW w:type="dxa" w:w="43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Today's gap, mapped</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Sidecar</w:t>
            </w:r>
          </w:p>
        </w:tc>
      </w:tr>
      <w:tr>
        <w:tc>
          <w:tcPr>
            <w:tcW w:type="dxa" w:w="7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The Era Determines the Gap</w:t>
            </w:r>
          </w:p>
        </w:tc>
        <w:tc>
          <w:tcPr>
            <w:tcW w:type="dxa" w:w="43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Path dependency as the central finding</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Sidecar</w:t>
            </w:r>
          </w:p>
        </w:tc>
      </w:tr>
      <w:tr>
        <w:tc>
          <w:tcPr>
            <w:tcW w:type="dxa" w:w="7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Three Equity Layers</w:t>
            </w:r>
          </w:p>
        </w:tc>
        <w:tc>
          <w:tcPr>
            <w:tcW w:type="dxa" w:w="43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Honest, multi-layer equity</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Sidecar</w:t>
            </w:r>
          </w:p>
        </w:tc>
      </w:tr>
      <w:tr>
        <w:tc>
          <w:tcPr>
            <w:tcW w:type="dxa" w:w="72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
            </w:r>
          </w:p>
        </w:tc>
        <w:tc>
          <w:tcPr>
            <w:tcW w:type="dxa" w:w="216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ACT II — DENVER'S TRAJECTORY</w:t>
            </w:r>
          </w:p>
        </w:tc>
        <w:tc>
          <w:tcPr>
            <w:tcW w:type="dxa" w:w="432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
            </w:r>
          </w:p>
        </w:tc>
        <w:tc>
          <w:tcPr>
            <w:tcW w:type="dxa" w:w="216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
            </w:r>
          </w:p>
        </w:tc>
      </w:tr>
      <w:tr>
        <w:tc>
          <w:tcPr>
            <w:tcW w:type="dxa" w:w="7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6</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Denver Once Had a System</w:t>
            </w:r>
          </w:p>
        </w:tc>
        <w:tc>
          <w:tcPr>
            <w:tcW w:type="dxa" w:w="43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1881 sidewalk districts</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Sidecar</w:t>
            </w:r>
          </w:p>
        </w:tc>
      </w:tr>
      <w:tr>
        <w:tc>
          <w:tcPr>
            <w:tcW w:type="dxa" w:w="7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7</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How Denver Lost It</w:t>
            </w:r>
          </w:p>
        </w:tc>
        <w:tc>
          <w:tcPr>
            <w:tcW w:type="dxa" w:w="43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Postwar dismantling</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Swipe</w:t>
            </w:r>
          </w:p>
        </w:tc>
      </w:tr>
      <w:tr>
        <w:tc>
          <w:tcPr>
            <w:tcW w:type="dxa" w:w="7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8</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The 20-Year Reform Arc</w:t>
            </w:r>
          </w:p>
        </w:tc>
        <w:tc>
          <w:tcPr>
            <w:tcW w:type="dxa" w:w="43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Timeline of failed and successful attempts</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Timeline</w:t>
            </w:r>
          </w:p>
        </w:tc>
      </w:tr>
      <w:tr>
        <w:tc>
          <w:tcPr>
            <w:tcW w:type="dxa" w:w="7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9</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How Initiative 307 Won</w:t>
            </w:r>
          </w:p>
        </w:tc>
        <w:tc>
          <w:tcPr>
            <w:tcW w:type="dxa" w:w="43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The bypass, the bundle, the ballot</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Sidecar</w:t>
            </w:r>
          </w:p>
        </w:tc>
      </w:tr>
      <w:tr>
        <w:tc>
          <w:tcPr>
            <w:tcW w:type="dxa" w:w="72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
            </w:r>
          </w:p>
        </w:tc>
        <w:tc>
          <w:tcPr>
            <w:tcW w:type="dxa" w:w="216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ACT III — REFORM PATHWAYS</w:t>
            </w:r>
          </w:p>
        </w:tc>
        <w:tc>
          <w:tcPr>
            <w:tcW w:type="dxa" w:w="432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
            </w:r>
          </w:p>
        </w:tc>
        <w:tc>
          <w:tcPr>
            <w:tcW w:type="dxa" w:w="216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
            </w:r>
          </w:p>
        </w:tc>
      </w:tr>
      <w:tr>
        <w:tc>
          <w:tcPr>
            <w:tcW w:type="dxa" w:w="7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10</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Where Denver Stands Today</w:t>
            </w:r>
          </w:p>
        </w:tc>
        <w:tc>
          <w:tcPr>
            <w:tcW w:type="dxa" w:w="43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SIP implementation snapshot</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Sidecar</w:t>
            </w:r>
          </w:p>
        </w:tc>
      </w:tr>
      <w:tr>
        <w:tc>
          <w:tcPr>
            <w:tcW w:type="dxa" w:w="7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11</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The Eight Reform Pathways</w:t>
            </w:r>
          </w:p>
        </w:tc>
        <w:tc>
          <w:tcPr>
            <w:tcW w:type="dxa" w:w="43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Real models, real cities, real tradeoffs</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Sidecar</w:t>
            </w:r>
          </w:p>
        </w:tc>
      </w:tr>
      <w:tr>
        <w:tc>
          <w:tcPr>
            <w:tcW w:type="dxa" w:w="72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
            </w:r>
          </w:p>
        </w:tc>
        <w:tc>
          <w:tcPr>
            <w:tcW w:type="dxa" w:w="216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ACT IV — A PATHWAY FOR YOUR CITY</w:t>
            </w:r>
          </w:p>
        </w:tc>
        <w:tc>
          <w:tcPr>
            <w:tcW w:type="dxa" w:w="432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
            </w:r>
          </w:p>
        </w:tc>
        <w:tc>
          <w:tcPr>
            <w:tcW w:type="dxa" w:w="2160"/>
            <w:tcBorders>
              <w:top w:val="single" w:color="C9C2B6" w:sz="4"/>
              <w:left w:val="single" w:color="C9C2B6" w:sz="4"/>
              <w:bottom w:val="single" w:color="C9C2B6" w:sz="4"/>
              <w:right w:val="single" w:color="C9C2B6" w:sz="4"/>
            </w:tcBorders>
            <w:shd w:fill="EDE6DA" w:val="clear"/>
            <w:tcMar>
              <w:top w:type="dxa" w:w="80"/>
              <w:left w:type="dxa" w:w="120"/>
              <w:bottom w:type="dxa" w:w="80"/>
              <w:right w:type="dxa" w:w="120"/>
            </w:tcMar>
          </w:tcPr>
          <w:p>
            <w:r>
              <w:rPr>
                <w:b/>
                <w:bCs/>
                <w:color w:val="B2542C"/>
                <w:sz w:val="20"/>
                <w:szCs w:val="20"/>
              </w:rPr>
              <w:t xml:space="preserve"/>
            </w:r>
          </w:p>
        </w:tc>
      </w:tr>
      <w:tr>
        <w:tc>
          <w:tcPr>
            <w:tcW w:type="dxa" w:w="7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12</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Diagnose Your Starting Point</w:t>
            </w:r>
          </w:p>
        </w:tc>
        <w:tc>
          <w:tcPr>
            <w:tcW w:type="dxa" w:w="43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The decision tree</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Sidecar</w:t>
            </w:r>
          </w:p>
        </w:tc>
      </w:tr>
      <w:tr>
        <w:tc>
          <w:tcPr>
            <w:tcW w:type="dxa" w:w="7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13</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Resources &amp; Credits</w:t>
            </w:r>
          </w:p>
        </w:tc>
        <w:tc>
          <w:tcPr>
            <w:tcW w:type="dxa" w:w="43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Report, data, contact</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20"/>
                <w:szCs w:val="20"/>
              </w:rPr>
              <w:t xml:space="preserve">Text</w:t>
            </w:r>
          </w:p>
        </w:tc>
      </w:tr>
    </w:tbl>
    <w:p>
      <w:r>
        <w:br w:type="page"/>
      </w:r>
    </w:p>
    <w:p>
      <w:pPr>
        <w:pBdr>
          <w:top w:val="single" w:color="1B3A4B" w:sz="16" w:space="8"/>
        </w:pBdr>
        <w:spacing w:after="120" w:before="240"/>
      </w:pPr>
      <w:r>
        <w:t xml:space="preserve"/>
      </w:r>
    </w:p>
    <w:p>
      <w:pPr>
        <w:spacing w:after="60"/>
      </w:pPr>
      <w:r>
        <w:rPr>
          <w:b/>
          <w:bCs/>
          <w:color w:val="B2542C"/>
          <w:sz w:val="22"/>
          <w:szCs w:val="22"/>
        </w:rPr>
        <w:t xml:space="preserve">SECTION 1  </w:t>
      </w:r>
      <w:r>
        <w:rPr>
          <w:color w:val="5C5C5C"/>
          <w:sz w:val="20"/>
          <w:szCs w:val="20"/>
        </w:rPr>
        <w:t xml:space="preserve">· Cover Block — full-bleed background  ·  </w:t>
      </w:r>
      <w:r>
        <w:rPr>
          <w:i/>
          <w:iCs/>
          <w:color w:val="1B3A4B"/>
          <w:sz w:val="20"/>
          <w:szCs w:val="20"/>
        </w:rPr>
        <w:t xml:space="preserve">Hook the reader before they read a word.</w:t>
      </w:r>
    </w:p>
    <w:p>
      <w:pPr>
        <w:pStyle w:val="Heading1"/>
        <w:spacing w:after="240"/>
      </w:pPr>
      <w:r>
        <w:rPr>
          <w:b/>
          <w:bCs/>
          <w:color w:val="1B3A4B"/>
          <w:sz w:val="40"/>
          <w:szCs w:val="40"/>
        </w:rPr>
        <w:t xml:space="preserve">Cover</w:t>
      </w:r>
    </w:p>
    <w:p>
      <w:pPr>
        <w:pStyle w:val="Heading3"/>
        <w:spacing w:after="80" w:before="200"/>
      </w:pPr>
      <w:r>
        <w:rPr>
          <w:b/>
          <w:bCs/>
          <w:color w:val="B2542C"/>
          <w:sz w:val="24"/>
          <w:szCs w:val="24"/>
        </w:rPr>
        <w:t xml:space="preserve">On-Screen</w:t>
      </w:r>
    </w:p>
    <w:p>
      <w:pPr>
        <w:pBdr>
          <w:left w:val="single" w:color="2D6A4F" w:sz="12" w:space="8"/>
        </w:pBdr>
        <w:spacing w:after="120"/>
        <w:ind w:left="360"/>
      </w:pPr>
      <w:r>
        <w:rPr>
          <w:b/>
          <w:bCs/>
          <w:color w:val="2D6A4F"/>
          <w:sz w:val="18"/>
          <w:szCs w:val="18"/>
        </w:rPr>
        <w:t xml:space="preserve">PASTE  </w:t>
      </w:r>
      <w:r>
        <w:rPr>
          <w:sz w:val="22"/>
          <w:szCs w:val="22"/>
        </w:rPr>
        <w:t xml:space="preserve">Mind the Gap</w:t>
      </w:r>
    </w:p>
    <w:p>
      <w:pPr>
        <w:pBdr>
          <w:left w:val="single" w:color="2D6A4F" w:sz="12" w:space="8"/>
        </w:pBdr>
        <w:spacing w:after="120"/>
        <w:ind w:left="360"/>
      </w:pPr>
      <w:r>
        <w:rPr>
          <w:b/>
          <w:bCs/>
          <w:color w:val="2D6A4F"/>
          <w:sz w:val="18"/>
          <w:szCs w:val="18"/>
        </w:rPr>
        <w:t xml:space="preserve">PASTE  </w:t>
      </w:r>
      <w:r>
        <w:rPr>
          <w:sz w:val="22"/>
          <w:szCs w:val="22"/>
        </w:rPr>
        <w:t xml:space="preserve">Lessons from Denver to rebuild your sidewalk network.</w:t>
      </w:r>
    </w:p>
    <w:p>
      <w:pPr>
        <w:pBdr>
          <w:left w:val="single" w:color="2D6A4F" w:sz="12" w:space="8"/>
        </w:pBdr>
        <w:spacing w:after="120"/>
        <w:ind w:left="360"/>
      </w:pPr>
      <w:r>
        <w:rPr>
          <w:b/>
          <w:bCs/>
          <w:color w:val="2D6A4F"/>
          <w:sz w:val="18"/>
          <w:szCs w:val="18"/>
        </w:rPr>
        <w:t xml:space="preserve">PASTE  </w:t>
      </w:r>
      <w:r>
        <w:rPr>
          <w:sz w:val="22"/>
          <w:szCs w:val="22"/>
        </w:rPr>
        <w:t xml:space="preserve">Taylor Lucas &amp; Robert Sells  ·  MURP Capstone  ·  In partnership with Fehr &amp; Peers</w:t>
      </w:r>
    </w:p>
    <w:p>
      <w:pPr>
        <w:pStyle w:val="Heading3"/>
        <w:spacing w:after="80" w:before="200"/>
      </w:pPr>
      <w:r>
        <w:rPr>
          <w:b/>
          <w:bCs/>
          <w:color w:val="B2542C"/>
          <w:sz w:val="24"/>
          <w:szCs w:val="24"/>
        </w:rPr>
        <w:t xml:space="preserve">Visual</w:t>
      </w:r>
    </w:p>
    <w:p>
      <w:pPr>
        <w:spacing w:after="120"/>
      </w:pPr>
      <w:r>
        <w:rPr>
          <w:sz w:val="22"/>
          <w:szCs w:val="22"/>
        </w:rPr>
        <w:t xml:space="preserve">Full-bleed background: a Denver sidewalk in clear disrepair — the broken-flagstone close-up from your existing draft works. Disrepair must read instantly, even at thumbnail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 COVER</w:t>
            </w:r>
          </w:p>
          <w:p>
            <w:pPr>
              <w:spacing w:after="40"/>
            </w:pPr>
            <w:r>
              <w:rPr>
                <w:color w:val="5C5C5C"/>
                <w:sz w:val="20"/>
                <w:szCs w:val="20"/>
              </w:rPr>
              <w:t xml:space="preserve">Block type: Cover. Layout: Full (full-screen background, content overlay).</w:t>
            </w:r>
          </w:p>
          <w:p>
            <w:pPr>
              <w:spacing w:after="40"/>
            </w:pPr>
            <w:r>
              <w:rPr>
                <w:color w:val="5C5C5C"/>
                <w:sz w:val="20"/>
                <w:szCs w:val="20"/>
              </w:rPr>
              <w:t xml:space="preserve">Image: 1920×1080 minimum, JPG, sRGB, compressed to &lt;500KB.</w:t>
            </w:r>
          </w:p>
          <w:p>
            <w:pPr>
              <w:spacing w:after="40"/>
            </w:pPr>
            <w:r>
              <w:rPr>
                <w:color w:val="5C5C5C"/>
                <w:sz w:val="20"/>
                <w:szCs w:val="20"/>
              </w:rPr>
              <w:t xml:space="preserve">Overlay: 25–35% dark tint for legibility.</w:t>
            </w:r>
          </w:p>
          <w:p>
            <w:pPr>
              <w:spacing w:after="40"/>
            </w:pPr>
            <w:r>
              <w:rPr>
                <w:color w:val="5C5C5C"/>
                <w:sz w:val="20"/>
                <w:szCs w:val="20"/>
              </w:rPr>
              <w:t xml:space="preserve">Type: Aptos Display 80–96pt title; Aptos 24pt subtitle.</w:t>
            </w:r>
          </w:p>
          <w:p>
            <w:pPr>
              <w:spacing w:after="40"/>
            </w:pPr>
            <w:r>
              <w:rPr>
                <w:color w:val="5C5C5C"/>
                <w:sz w:val="20"/>
                <w:szCs w:val="20"/>
              </w:rPr>
              <w:t xml:space="preserve">Bottom-center: subtle chevron + 'Scroll to begin'.</w:t>
            </w:r>
          </w:p>
        </w:tc>
      </w:tr>
    </w:tbl>
    <w:p>
      <w:pPr>
        <w:pBdr>
          <w:top w:val="single" w:color="1B3A4B" w:sz="16" w:space="8"/>
        </w:pBdr>
        <w:spacing w:after="120" w:before="240"/>
      </w:pPr>
      <w:r>
        <w:t xml:space="preserve"/>
      </w:r>
    </w:p>
    <w:p>
      <w:pPr>
        <w:spacing w:after="60"/>
      </w:pPr>
      <w:r>
        <w:rPr>
          <w:b/>
          <w:bCs/>
          <w:color w:val="B2542C"/>
          <w:sz w:val="22"/>
          <w:szCs w:val="22"/>
        </w:rPr>
        <w:t xml:space="preserve">SECTION 2  </w:t>
      </w:r>
      <w:r>
        <w:rPr>
          <w:color w:val="5C5C5C"/>
          <w:sz w:val="20"/>
          <w:szCs w:val="20"/>
        </w:rPr>
        <w:t xml:space="preserve">· Text Block — frame &amp; navigation  ·  </w:t>
      </w:r>
      <w:r>
        <w:rPr>
          <w:i/>
          <w:iCs/>
          <w:color w:val="1B3A4B"/>
          <w:sz w:val="20"/>
          <w:szCs w:val="20"/>
        </w:rPr>
        <w:t xml:space="preserve">Tell the reader what they'll learn and where to jump.</w:t>
      </w:r>
    </w:p>
    <w:p>
      <w:pPr>
        <w:pStyle w:val="Heading1"/>
        <w:spacing w:after="240"/>
      </w:pPr>
      <w:r>
        <w:rPr>
          <w:b/>
          <w:bCs/>
          <w:color w:val="1B3A4B"/>
          <w:sz w:val="40"/>
          <w:szCs w:val="40"/>
        </w:rPr>
        <w:t xml:space="preserve">About This Guide</w:t>
      </w:r>
    </w:p>
    <w:p>
      <w:pPr>
        <w:pStyle w:val="Heading3"/>
        <w:spacing w:after="80" w:before="200"/>
      </w:pPr>
      <w:r>
        <w:rPr>
          <w:b/>
          <w:bCs/>
          <w:color w:val="B2542C"/>
          <w:sz w:val="24"/>
          <w:szCs w:val="24"/>
        </w:rPr>
        <w:t xml:space="preserve">On-Screen</w:t>
      </w:r>
    </w:p>
    <w:p>
      <w:pPr>
        <w:pBdr>
          <w:left w:val="single" w:color="2D6A4F" w:sz="12" w:space="8"/>
        </w:pBdr>
        <w:spacing w:after="120"/>
        <w:ind w:left="360"/>
      </w:pPr>
      <w:r>
        <w:rPr>
          <w:b/>
          <w:bCs/>
          <w:color w:val="2D6A4F"/>
          <w:sz w:val="18"/>
          <w:szCs w:val="18"/>
        </w:rPr>
        <w:t xml:space="preserve">PASTE  </w:t>
      </w:r>
      <w:r>
        <w:rPr>
          <w:sz w:val="22"/>
          <w:szCs w:val="22"/>
        </w:rPr>
        <w:t xml:space="preserve">Most American cities are losing the same fight against the same opponent: a sidewalk system designed for the nineteenth century, applied to twenty-first-century neighborhoods, and funded one property at a time.</w:t>
      </w:r>
    </w:p>
    <w:p>
      <w:pPr>
        <w:pBdr>
          <w:left w:val="single" w:color="2D6A4F" w:sz="12" w:space="8"/>
        </w:pBdr>
        <w:spacing w:after="120"/>
        <w:ind w:left="360"/>
      </w:pPr>
      <w:r>
        <w:rPr>
          <w:b/>
          <w:bCs/>
          <w:color w:val="2D6A4F"/>
          <w:sz w:val="18"/>
          <w:szCs w:val="18"/>
        </w:rPr>
        <w:t xml:space="preserve">PASTE  </w:t>
      </w:r>
      <w:r>
        <w:rPr>
          <w:sz w:val="22"/>
          <w:szCs w:val="22"/>
        </w:rPr>
        <w:t xml:space="preserve">Denver's two-decade reform effort is the most fully documented case of a major city escaping that system. This Story Map walks through the analysis behind the reform — what made Denver's network look the way it does, what the city tried, what failed, and what finally worked — and translates the lessons into a practical framework for any city facing the same problem.</w:t>
      </w:r>
    </w:p>
    <w:p>
      <w:pPr>
        <w:pBdr>
          <w:left w:val="single" w:color="2D6A4F" w:sz="12" w:space="8"/>
        </w:pBdr>
        <w:spacing w:after="120"/>
        <w:ind w:left="360"/>
      </w:pPr>
      <w:r>
        <w:rPr>
          <w:b/>
          <w:bCs/>
          <w:color w:val="2D6A4F"/>
          <w:sz w:val="18"/>
          <w:szCs w:val="18"/>
        </w:rPr>
        <w:t xml:space="preserve">PASTE  </w:t>
      </w:r>
      <w:r>
        <w:rPr>
          <w:sz w:val="22"/>
          <w:szCs w:val="22"/>
        </w:rPr>
        <w:t xml:space="preserve">The focus is Denver. The field guide at the end is for everyone.</w:t>
      </w:r>
    </w:p>
    <w:p>
      <w:pPr>
        <w:pStyle w:val="Heading3"/>
        <w:spacing w:after="80" w:before="200"/>
      </w:pPr>
      <w:r>
        <w:rPr>
          <w:b/>
          <w:bCs/>
          <w:color w:val="B2542C"/>
          <w:sz w:val="24"/>
          <w:szCs w:val="24"/>
        </w:rPr>
        <w:t xml:space="preserve">Find Your Starting Point — Navigation Tiles</w:t>
      </w:r>
    </w:p>
    <w:p>
      <w:pPr>
        <w:spacing w:after="120"/>
      </w:pPr>
      <w:r>
        <w:rPr>
          <w:sz w:val="22"/>
          <w:szCs w:val="22"/>
        </w:rPr>
        <w:t xml:space="preserve">Four tiles, each linking to the section that answers a specific reader's question.</w:t>
      </w:r>
    </w:p>
    <w:p>
      <w:pPr>
        <w:pStyle w:val="Heading4"/>
        <w:spacing w:after="60" w:before="160"/>
      </w:pPr>
      <w:r>
        <w:rPr>
          <w:b/>
          <w:bCs/>
          <w:color w:val="1B3A4B"/>
          <w:sz w:val="22"/>
          <w:szCs w:val="22"/>
        </w:rPr>
        <w:t xml:space="preserve">Tile 1 — for the curious reader</w:t>
      </w:r>
    </w:p>
    <w:p>
      <w:pPr>
        <w:pBdr>
          <w:left w:val="single" w:color="2D6A4F" w:sz="12" w:space="8"/>
        </w:pBdr>
        <w:spacing w:after="120"/>
        <w:ind w:left="360"/>
      </w:pPr>
      <w:r>
        <w:rPr>
          <w:b/>
          <w:bCs/>
          <w:color w:val="2D6A4F"/>
          <w:sz w:val="18"/>
          <w:szCs w:val="18"/>
        </w:rPr>
        <w:t xml:space="preserve">PASTE  </w:t>
      </w:r>
      <w:r>
        <w:rPr>
          <w:sz w:val="22"/>
          <w:szCs w:val="22"/>
        </w:rPr>
        <w:t xml:space="preserve">Why are sidewalks like this?  →  Section 4</w:t>
      </w:r>
    </w:p>
    <w:p>
      <w:pPr>
        <w:pStyle w:val="Heading4"/>
        <w:spacing w:after="60" w:before="160"/>
      </w:pPr>
      <w:r>
        <w:rPr>
          <w:b/>
          <w:bCs/>
          <w:color w:val="1B3A4B"/>
          <w:sz w:val="22"/>
          <w:szCs w:val="22"/>
        </w:rPr>
        <w:t xml:space="preserve">Tile 2 — for the skeptical council member</w:t>
      </w:r>
    </w:p>
    <w:p>
      <w:pPr>
        <w:pBdr>
          <w:left w:val="single" w:color="2D6A4F" w:sz="12" w:space="8"/>
        </w:pBdr>
        <w:spacing w:after="120"/>
        <w:ind w:left="360"/>
      </w:pPr>
      <w:r>
        <w:rPr>
          <w:b/>
          <w:bCs/>
          <w:color w:val="2D6A4F"/>
          <w:sz w:val="18"/>
          <w:szCs w:val="18"/>
        </w:rPr>
        <w:t xml:space="preserve">PASTE  </w:t>
      </w:r>
      <w:r>
        <w:rPr>
          <w:sz w:val="22"/>
          <w:szCs w:val="22"/>
        </w:rPr>
        <w:t xml:space="preserve">Why should the city pay for them?  →  Section 9</w:t>
      </w:r>
    </w:p>
    <w:p>
      <w:pPr>
        <w:pStyle w:val="Heading4"/>
        <w:spacing w:after="60" w:before="160"/>
      </w:pPr>
      <w:r>
        <w:rPr>
          <w:b/>
          <w:bCs/>
          <w:color w:val="1B3A4B"/>
          <w:sz w:val="22"/>
          <w:szCs w:val="22"/>
        </w:rPr>
        <w:t xml:space="preserve">Tile 3 — for the practitioner</w:t>
      </w:r>
    </w:p>
    <w:p>
      <w:pPr>
        <w:pBdr>
          <w:left w:val="single" w:color="2D6A4F" w:sz="12" w:space="8"/>
        </w:pBdr>
        <w:spacing w:after="120"/>
        <w:ind w:left="360"/>
      </w:pPr>
      <w:r>
        <w:rPr>
          <w:b/>
          <w:bCs/>
          <w:color w:val="2D6A4F"/>
          <w:sz w:val="18"/>
          <w:szCs w:val="18"/>
        </w:rPr>
        <w:t xml:space="preserve">PASTE  </w:t>
      </w:r>
      <w:r>
        <w:rPr>
          <w:sz w:val="22"/>
          <w:szCs w:val="22"/>
        </w:rPr>
        <w:t xml:space="preserve">What model fits my city?  →  Section 11</w:t>
      </w:r>
    </w:p>
    <w:p>
      <w:pPr>
        <w:pStyle w:val="Heading4"/>
        <w:spacing w:after="60" w:before="160"/>
      </w:pPr>
      <w:r>
        <w:rPr>
          <w:b/>
          <w:bCs/>
          <w:color w:val="1B3A4B"/>
          <w:sz w:val="22"/>
          <w:szCs w:val="22"/>
        </w:rPr>
        <w:t xml:space="preserve">Tile 4 — for the advocate</w:t>
      </w:r>
    </w:p>
    <w:p>
      <w:pPr>
        <w:pBdr>
          <w:left w:val="single" w:color="2D6A4F" w:sz="12" w:space="8"/>
        </w:pBdr>
        <w:spacing w:after="120"/>
        <w:ind w:left="360"/>
      </w:pPr>
      <w:r>
        <w:rPr>
          <w:b/>
          <w:bCs/>
          <w:color w:val="2D6A4F"/>
          <w:sz w:val="18"/>
          <w:szCs w:val="18"/>
        </w:rPr>
        <w:t xml:space="preserve">PASTE  </w:t>
      </w:r>
      <w:r>
        <w:rPr>
          <w:sz w:val="22"/>
          <w:szCs w:val="22"/>
        </w:rPr>
        <w:t xml:space="preserve">Where do I start?  →  Section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 NAVIGATION</w:t>
            </w:r>
          </w:p>
          <w:p>
            <w:pPr>
              <w:spacing w:after="40"/>
            </w:pPr>
            <w:r>
              <w:rPr>
                <w:color w:val="5C5C5C"/>
                <w:sz w:val="20"/>
                <w:szCs w:val="20"/>
              </w:rPr>
              <w:t xml:space="preserve">Block: 4-up image grid using Sidecar's slide layout, OR a custom HTML embed.</w:t>
            </w:r>
          </w:p>
          <w:p>
            <w:pPr>
              <w:spacing w:after="40"/>
            </w:pPr>
            <w:r>
              <w:rPr>
                <w:color w:val="5C5C5C"/>
                <w:sz w:val="20"/>
                <w:szCs w:val="20"/>
              </w:rPr>
              <w:t xml:space="preserve">Each tile: 240×240px square, 1-line label, Lucide-style icon.</w:t>
            </w:r>
          </w:p>
          <w:p>
            <w:pPr>
              <w:spacing w:after="40"/>
            </w:pPr>
            <w:r>
              <w:rPr>
                <w:color w:val="5C5C5C"/>
                <w:sz w:val="20"/>
                <w:szCs w:val="20"/>
              </w:rPr>
              <w:t xml:space="preserve">Anchor links: ArcGIS Story Maps' built-in section bookmarks.</w:t>
            </w:r>
          </w:p>
          <w:p>
            <w:pPr>
              <w:spacing w:after="40"/>
            </w:pPr>
            <w:r>
              <w:rPr>
                <w:color w:val="5C5C5C"/>
                <w:sz w:val="20"/>
                <w:szCs w:val="20"/>
              </w:rPr>
              <w:t xml:space="preserve">Hover state: navy → rust. Maintain WCAG AA contrast.</w:t>
            </w:r>
          </w:p>
        </w:tc>
      </w:tr>
    </w:tbl>
    <w:p>
      <w:pPr>
        <w:pBdr>
          <w:top w:val="single" w:color="1B3A4B" w:sz="16" w:space="8"/>
        </w:pBdr>
        <w:spacing w:after="120" w:before="240"/>
      </w:pPr>
      <w:r>
        <w:t xml:space="preserve"/>
      </w:r>
    </w:p>
    <w:p>
      <w:pPr>
        <w:spacing w:after="60"/>
      </w:pPr>
      <w:r>
        <w:rPr>
          <w:b/>
          <w:bCs/>
          <w:color w:val="B2542C"/>
          <w:sz w:val="22"/>
          <w:szCs w:val="22"/>
        </w:rPr>
        <w:t xml:space="preserve">SECTION 3  </w:t>
      </w:r>
      <w:r>
        <w:rPr>
          <w:color w:val="5C5C5C"/>
          <w:sz w:val="20"/>
          <w:szCs w:val="20"/>
        </w:rPr>
        <w:t xml:space="preserve">· Sidecar — three slides, map-led  ·  </w:t>
      </w:r>
      <w:r>
        <w:rPr>
          <w:i/>
          <w:iCs/>
          <w:color w:val="1B3A4B"/>
          <w:sz w:val="20"/>
          <w:szCs w:val="20"/>
        </w:rPr>
        <w:t xml:space="preserve">Show the gap before you tell the reader about it.</w:t>
      </w:r>
    </w:p>
    <w:p>
      <w:pPr>
        <w:pStyle w:val="Heading1"/>
        <w:spacing w:after="240"/>
      </w:pPr>
      <w:r>
        <w:rPr>
          <w:b/>
          <w:bCs/>
          <w:color w:val="1B3A4B"/>
          <w:sz w:val="40"/>
          <w:szCs w:val="40"/>
        </w:rPr>
        <w:t xml:space="preserve">The State of the Network</w:t>
      </w:r>
    </w:p>
    <w:p>
      <w:pPr>
        <w:spacing w:after="120"/>
      </w:pPr>
      <w:r>
        <w:rPr>
          <w:sz w:val="22"/>
          <w:szCs w:val="22"/>
        </w:rPr>
        <w:t xml:space="preserve">Three Sidecar slides. Map carries the slide; text supports.</w:t>
      </w:r>
    </w:p>
    <w:p>
      <w:pPr>
        <w:pStyle w:val="Heading4"/>
        <w:spacing w:after="60" w:before="160"/>
      </w:pPr>
      <w:r>
        <w:rPr>
          <w:b/>
          <w:bCs/>
          <w:color w:val="1B3A4B"/>
          <w:sz w:val="22"/>
          <w:szCs w:val="22"/>
        </w:rPr>
        <w:t xml:space="preserve">Slide 1 — See the gap</w:t>
      </w:r>
    </w:p>
    <w:p>
      <w:pPr>
        <w:pBdr>
          <w:left w:val="single" w:color="2D6A4F" w:sz="12" w:space="8"/>
        </w:pBdr>
        <w:spacing w:after="120"/>
        <w:ind w:left="360"/>
      </w:pPr>
      <w:r>
        <w:rPr>
          <w:b/>
          <w:bCs/>
          <w:color w:val="2D6A4F"/>
          <w:sz w:val="18"/>
          <w:szCs w:val="18"/>
        </w:rPr>
        <w:t xml:space="preserve">PASTE  </w:t>
      </w:r>
      <w:r>
        <w:rPr>
          <w:sz w:val="22"/>
          <w:szCs w:val="22"/>
        </w:rPr>
        <w:t xml:space="preserve">This is Denver's sidewalk network in 2025. Green is sufficient width. Amber is too narrow to meet current standards. Red is missing entirely.</w:t>
      </w:r>
    </w:p>
    <w:p>
      <w:pPr>
        <w:pBdr>
          <w:left w:val="single" w:color="2D6A4F" w:sz="12" w:space="8"/>
        </w:pBdr>
        <w:spacing w:after="120"/>
        <w:ind w:left="360"/>
      </w:pPr>
      <w:r>
        <w:rPr>
          <w:b/>
          <w:bCs/>
          <w:color w:val="2D6A4F"/>
          <w:sz w:val="18"/>
          <w:szCs w:val="18"/>
        </w:rPr>
        <w:t xml:space="preserve">PASTE  </w:t>
      </w:r>
      <w:r>
        <w:rPr>
          <w:sz w:val="22"/>
          <w:szCs w:val="22"/>
        </w:rPr>
        <w:t xml:space="preserve">60% of the network is sufficient. 30% is too narrow. 10% is missing outright.</w:t>
      </w:r>
    </w:p>
    <w:p>
      <w:pPr>
        <w:spacing w:after="100"/>
        <w:ind w:left="360"/>
      </w:pPr>
      <w:r>
        <w:rPr>
          <w:b/>
          <w:bCs/>
          <w:color w:val="8B0000"/>
          <w:sz w:val="18"/>
          <w:szCs w:val="18"/>
        </w:rPr>
        <w:t xml:space="preserve">⚠ VERIFY:  </w:t>
      </w:r>
      <w:r>
        <w:rPr>
          <w:color w:val="8B0000"/>
          <w:sz w:val="18"/>
          <w:szCs w:val="18"/>
        </w:rPr>
        <w:t xml:space="preserve">Citywide percentages: 60% sufficient, 30% deficient, 10% missing</w:t>
      </w:r>
      <w:r>
        <w:rPr>
          <w:i/>
          <w:iCs/>
          <w:color w:val="5C5C5C"/>
          <w:sz w:val="18"/>
          <w:szCs w:val="18"/>
        </w:rPr>
        <w:t xml:space="preserve">  [Source: DMPT Existing Conditions Report (2017), Goal: Accessibility table; cited in capstone Chapter 4.1]</w:t>
      </w:r>
    </w:p>
    <w:p>
      <w:pPr>
        <w:pStyle w:val="Heading4"/>
        <w:spacing w:after="60" w:before="160"/>
      </w:pPr>
      <w:r>
        <w:rPr>
          <w:b/>
          <w:bCs/>
          <w:color w:val="1B3A4B"/>
          <w:sz w:val="22"/>
          <w:szCs w:val="22"/>
        </w:rPr>
        <w:t xml:space="preserve">Slide 2 — Where people walk to</w:t>
      </w:r>
    </w:p>
    <w:p>
      <w:pPr>
        <w:pBdr>
          <w:left w:val="single" w:color="2D6A4F" w:sz="12" w:space="8"/>
        </w:pBdr>
        <w:spacing w:after="120"/>
        <w:ind w:left="360"/>
      </w:pPr>
      <w:r>
        <w:rPr>
          <w:b/>
          <w:bCs/>
          <w:color w:val="2D6A4F"/>
          <w:sz w:val="18"/>
          <w:szCs w:val="18"/>
        </w:rPr>
        <w:t xml:space="preserve">PASTE  </w:t>
      </w:r>
      <w:r>
        <w:rPr>
          <w:sz w:val="22"/>
          <w:szCs w:val="22"/>
        </w:rPr>
        <w:t xml:space="preserve">Around grocery stores, schools, parks, and transit stops, the rates are roughly the same. The places people walk to are inside the same network as everywhere else — including its gaps.</w:t>
      </w:r>
    </w:p>
    <w:p>
      <w:pPr>
        <w:pBdr>
          <w:left w:val="single" w:color="2D6A4F" w:sz="12" w:space="8"/>
        </w:pBdr>
        <w:spacing w:after="120"/>
        <w:ind w:left="360"/>
      </w:pPr>
      <w:r>
        <w:rPr>
          <w:b/>
          <w:bCs/>
          <w:color w:val="2D6A4F"/>
          <w:sz w:val="18"/>
          <w:szCs w:val="18"/>
        </w:rPr>
        <w:t xml:space="preserve">PASTE  </w:t>
      </w:r>
      <w:r>
        <w:rPr>
          <w:sz w:val="22"/>
          <w:szCs w:val="22"/>
        </w:rPr>
        <w:t xml:space="preserve">More than half of high-ridership transit stops in Denver sit within a two-minute walk of a missing sidewalk. More than a third of schools, parks, grocery stores, and health centers do too.</w:t>
      </w:r>
    </w:p>
    <w:p>
      <w:pPr>
        <w:spacing w:after="100"/>
        <w:ind w:left="360"/>
      </w:pPr>
      <w:r>
        <w:rPr>
          <w:b/>
          <w:bCs/>
          <w:color w:val="8B0000"/>
          <w:sz w:val="18"/>
          <w:szCs w:val="18"/>
        </w:rPr>
        <w:t xml:space="preserve">⚠ VERIFY:  </w:t>
      </w:r>
      <w:r>
        <w:rPr>
          <w:color w:val="8B0000"/>
          <w:sz w:val="18"/>
          <w:szCs w:val="18"/>
        </w:rPr>
        <w:t xml:space="preserve">Walkshed proximity figures</w:t>
      </w:r>
      <w:r>
        <w:rPr>
          <w:i/>
          <w:iCs/>
          <w:color w:val="5C5C5C"/>
          <w:sz w:val="18"/>
          <w:szCs w:val="18"/>
        </w:rPr>
        <w:t xml:space="preserve">  [Source: Sidewalks DEN Story Map; cited in capstone Section 5.4]</w:t>
      </w:r>
    </w:p>
    <w:p>
      <w:pPr>
        <w:pStyle w:val="Heading4"/>
        <w:spacing w:after="60" w:before="160"/>
      </w:pPr>
      <w:r>
        <w:rPr>
          <w:b/>
          <w:bCs/>
          <w:color w:val="1B3A4B"/>
          <w:sz w:val="22"/>
          <w:szCs w:val="22"/>
        </w:rPr>
        <w:t xml:space="preserve">Slide 3 — The structure behind the map</w:t>
      </w:r>
    </w:p>
    <w:p>
      <w:pPr>
        <w:pBdr>
          <w:left w:val="single" w:color="2D6A4F" w:sz="12" w:space="8"/>
        </w:pBdr>
        <w:spacing w:after="120"/>
        <w:ind w:left="360"/>
      </w:pPr>
      <w:r>
        <w:rPr>
          <w:b/>
          <w:bCs/>
          <w:color w:val="2D6A4F"/>
          <w:sz w:val="18"/>
          <w:szCs w:val="18"/>
        </w:rPr>
        <w:t xml:space="preserve">PASTE  </w:t>
      </w:r>
      <w:r>
        <w:rPr>
          <w:sz w:val="22"/>
          <w:szCs w:val="22"/>
        </w:rPr>
        <w:t xml:space="preserve">Streets are maintained publicly. Wastewater is maintained publicly. Street lighting is maintained publicly.</w:t>
      </w:r>
    </w:p>
    <w:p>
      <w:pPr>
        <w:pBdr>
          <w:left w:val="single" w:color="2D6A4F" w:sz="12" w:space="8"/>
        </w:pBdr>
        <w:spacing w:after="120"/>
        <w:ind w:left="360"/>
      </w:pPr>
      <w:r>
        <w:rPr>
          <w:b/>
          <w:bCs/>
          <w:color w:val="2D6A4F"/>
          <w:sz w:val="18"/>
          <w:szCs w:val="18"/>
        </w:rPr>
        <w:t xml:space="preserve">PASTE  </w:t>
      </w:r>
      <w:r>
        <w:rPr>
          <w:sz w:val="22"/>
          <w:szCs w:val="22"/>
        </w:rPr>
        <w:t xml:space="preserve">Sidewalks are the exception. They are the only piece of the public right-of-way for which the abutting property owner has historically been responsible. The network you're looking at is what that produces — built one lot at a time, broken down lot by lot.</w:t>
      </w:r>
    </w:p>
    <w:p>
      <w:pPr>
        <w:pBdr>
          <w:left w:val="single" w:color="2D6A4F" w:sz="12" w:space="8"/>
        </w:pBdr>
        <w:spacing w:after="120"/>
        <w:ind w:left="360"/>
      </w:pPr>
      <w:r>
        <w:rPr>
          <w:b/>
          <w:bCs/>
          <w:color w:val="2D6A4F"/>
          <w:sz w:val="18"/>
          <w:szCs w:val="18"/>
        </w:rPr>
        <w:t xml:space="preserve">PASTE  </w:t>
      </w:r>
      <w:r>
        <w:rPr>
          <w:sz w:val="22"/>
          <w:szCs w:val="22"/>
        </w:rPr>
        <w:t xml:space="preserve">This is not a funding problem or a planning problem. It is a structure problem. Denver spent two decades learning the difference.</w:t>
      </w:r>
    </w:p>
    <w:p>
      <w:pPr>
        <w:pStyle w:val="Heading3"/>
        <w:spacing w:after="80" w:before="200"/>
      </w:pPr>
      <w:r>
        <w:rPr>
          <w:b/>
          <w:bCs/>
          <w:color w:val="B2542C"/>
          <w:sz w:val="24"/>
          <w:szCs w:val="24"/>
        </w:rPr>
        <w:t xml:space="preserve">Visuals</w:t>
      </w:r>
    </w:p>
    <w:p>
      <w:pPr>
        <w:pStyle w:val="ListParagraph"/>
        <w:numPr>
          <w:ilvl w:val="0"/>
          <w:numId w:val="2"/>
        </w:numPr>
        <w:spacing w:after="60"/>
      </w:pPr>
      <w:r>
        <w:rPr>
          <w:sz w:val="22"/>
          <w:szCs w:val="22"/>
        </w:rPr>
        <w:t xml:space="preserve">Slide 1 map: Denver basemap, sidewalk centerlines classified into three categories.</w:t>
      </w:r>
    </w:p>
    <w:p>
      <w:pPr>
        <w:pStyle w:val="ListParagraph"/>
        <w:numPr>
          <w:ilvl w:val="0"/>
          <w:numId w:val="2"/>
        </w:numPr>
        <w:spacing w:after="60"/>
      </w:pPr>
      <w:r>
        <w:rPr>
          <w:sz w:val="22"/>
          <w:szCs w:val="22"/>
        </w:rPr>
        <w:t xml:space="preserve">Slide 2 map: same network, with grocery / park / school / transit stop overlays. Subtle ½-mile walksheds (¼-mile for bus stops) shaded behind.</w:t>
      </w:r>
    </w:p>
    <w:p>
      <w:pPr>
        <w:pStyle w:val="ListParagraph"/>
        <w:numPr>
          <w:ilvl w:val="0"/>
          <w:numId w:val="2"/>
        </w:numPr>
        <w:spacing w:after="60"/>
      </w:pPr>
      <w:r>
        <w:rPr>
          <w:sz w:val="22"/>
          <w:szCs w:val="22"/>
        </w:rPr>
        <w:t xml:space="preserve">Slide 3 visual: full-bleed graphic — four columns labeled Streets, Water, Lighting, Sidewalks. First three filled with a navy 'Public' icon. Fourth empty, with a rust 'Private' tag. Visual rhymed in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 SECTION 3</w:t>
            </w:r>
          </w:p>
          <w:p>
            <w:pPr>
              <w:spacing w:after="40"/>
            </w:pPr>
            <w:r>
              <w:rPr>
                <w:color w:val="5C5C5C"/>
                <w:sz w:val="20"/>
                <w:szCs w:val="20"/>
              </w:rPr>
              <w:t xml:space="preserve">Block: Sidecar. 3 slides. Media side: right.</w:t>
            </w:r>
          </w:p>
          <w:p>
            <w:pPr>
              <w:spacing w:after="40"/>
            </w:pPr>
            <w:r>
              <w:rPr>
                <w:color w:val="5C5C5C"/>
                <w:sz w:val="20"/>
                <w:szCs w:val="20"/>
              </w:rPr>
              <w:t xml:space="preserve">Web map: Denver_Sidewalk_Network_Status_2025.</w:t>
            </w:r>
          </w:p>
          <w:p>
            <w:pPr>
              <w:spacing w:after="40"/>
            </w:pPr>
            <w:r>
              <w:rPr>
                <w:color w:val="5C5C5C"/>
                <w:sz w:val="20"/>
                <w:szCs w:val="20"/>
              </w:rPr>
              <w:t xml:space="preserve">Color ramp: sufficient #B6BFB1 (sage), deficient #D89A4E (amber), missing #B2542C (rust).</w:t>
            </w:r>
          </w:p>
          <w:p>
            <w:pPr>
              <w:spacing w:after="40"/>
            </w:pPr>
            <w:r>
              <w:rPr>
                <w:color w:val="5C5C5C"/>
                <w:sz w:val="20"/>
                <w:szCs w:val="20"/>
              </w:rPr>
              <w:t xml:space="preserve">Bake a 1-line legend into each slide. Don't rely on map popups.</w:t>
            </w:r>
          </w:p>
          <w:p>
            <w:pPr>
              <w:spacing w:after="40"/>
            </w:pPr>
            <w:r>
              <w:rPr>
                <w:color w:val="5C5C5C"/>
                <w:sz w:val="20"/>
                <w:szCs w:val="20"/>
              </w:rPr>
              <w:t xml:space="preserve">Slide 3 graphic: build as SVG in Figma, export at 2x. Lucide icons, uniform stroke weight.</w:t>
            </w:r>
          </w:p>
        </w:tc>
      </w:tr>
    </w:tbl>
    <w:p>
      <w:pPr>
        <w:pBdr>
          <w:top w:val="single" w:color="1B3A4B" w:sz="16" w:space="8"/>
        </w:pBdr>
        <w:spacing w:after="120" w:before="240"/>
      </w:pPr>
      <w:r>
        <w:t xml:space="preserve"/>
      </w:r>
    </w:p>
    <w:p>
      <w:pPr>
        <w:spacing w:after="60"/>
      </w:pPr>
      <w:r>
        <w:rPr>
          <w:b/>
          <w:bCs/>
          <w:color w:val="B2542C"/>
          <w:sz w:val="22"/>
          <w:szCs w:val="22"/>
        </w:rPr>
        <w:t xml:space="preserve">SECTION 4  </w:t>
      </w:r>
      <w:r>
        <w:rPr>
          <w:color w:val="5C5C5C"/>
          <w:sz w:val="20"/>
          <w:szCs w:val="20"/>
        </w:rPr>
        <w:t xml:space="preserve">· Sidecar — three slides, era-based path dependency  ·  </w:t>
      </w:r>
      <w:r>
        <w:rPr>
          <w:i/>
          <w:iCs/>
          <w:color w:val="1B3A4B"/>
          <w:sz w:val="20"/>
          <w:szCs w:val="20"/>
        </w:rPr>
        <w:t xml:space="preserve">The convincing-skeptics argument. Path dependency, mapped.</w:t>
      </w:r>
    </w:p>
    <w:p>
      <w:pPr>
        <w:pStyle w:val="Heading1"/>
        <w:spacing w:after="240"/>
      </w:pPr>
      <w:r>
        <w:rPr>
          <w:b/>
          <w:bCs/>
          <w:color w:val="1B3A4B"/>
          <w:sz w:val="40"/>
          <w:szCs w:val="40"/>
        </w:rPr>
        <w:t xml:space="preserve">The Era Determines the Gap</w:t>
      </w:r>
    </w:p>
    <w:p>
      <w:pPr>
        <w:spacing w:after="120"/>
      </w:pPr>
      <w:r>
        <w:rPr>
          <w:sz w:val="22"/>
          <w:szCs w:val="22"/>
        </w:rPr>
        <w:t xml:space="preserve">This is the section that does the persuasive heavy lifting. It uses your Chapter 4.2 era-based findings to answer the question every reader is asking after Section 3: why does this happen? The answer is path dependency, and it lands harder than equity does for skeptical audiences because it's a structural argument that doesn't ask anyone to feel guilty before they act.</w:t>
      </w:r>
    </w:p>
    <w:p>
      <w:pPr>
        <w:pStyle w:val="Heading4"/>
        <w:spacing w:after="60" w:before="160"/>
      </w:pPr>
      <w:r>
        <w:rPr>
          <w:b/>
          <w:bCs/>
          <w:color w:val="1B3A4B"/>
          <w:sz w:val="22"/>
          <w:szCs w:val="22"/>
        </w:rPr>
        <w:t xml:space="preserve">Slide 1 — Two cities, one map</w:t>
      </w:r>
    </w:p>
    <w:p>
      <w:pPr>
        <w:pBdr>
          <w:left w:val="single" w:color="2D6A4F" w:sz="12" w:space="8"/>
        </w:pBdr>
        <w:spacing w:after="120"/>
        <w:ind w:left="360"/>
      </w:pPr>
      <w:r>
        <w:rPr>
          <w:b/>
          <w:bCs/>
          <w:color w:val="2D6A4F"/>
          <w:sz w:val="18"/>
          <w:szCs w:val="18"/>
        </w:rPr>
        <w:t xml:space="preserve">PASTE  </w:t>
      </w:r>
      <w:r>
        <w:rPr>
          <w:sz w:val="22"/>
          <w:szCs w:val="22"/>
        </w:rPr>
        <w:t xml:space="preserve">Sidewalk gaps don't appear randomly. They appear where a neighborhood was built without sidewalks in the first place — and they stay there because retrofit is far harder than original construction.</w:t>
      </w:r>
    </w:p>
    <w:p>
      <w:pPr>
        <w:pBdr>
          <w:left w:val="single" w:color="2D6A4F" w:sz="12" w:space="8"/>
        </w:pBdr>
        <w:spacing w:after="120"/>
        <w:ind w:left="360"/>
      </w:pPr>
      <w:r>
        <w:rPr>
          <w:b/>
          <w:bCs/>
          <w:color w:val="2D6A4F"/>
          <w:sz w:val="18"/>
          <w:szCs w:val="18"/>
        </w:rPr>
        <w:t xml:space="preserve">PASTE  </w:t>
      </w:r>
      <w:r>
        <w:rPr>
          <w:sz w:val="22"/>
          <w:szCs w:val="22"/>
        </w:rPr>
        <w:t xml:space="preserve">Color this map by development era. Streetcar-era neighborhoods (pre-1940) inherited near-complete networks: narrow lots, shallow setbacks, sidewalks installed alongside curb-and-gutter as standard practice.</w:t>
      </w:r>
    </w:p>
    <w:p>
      <w:pPr>
        <w:pBdr>
          <w:left w:val="single" w:color="2D6A4F" w:sz="12" w:space="8"/>
        </w:pBdr>
        <w:spacing w:after="120"/>
        <w:ind w:left="360"/>
      </w:pPr>
      <w:r>
        <w:rPr>
          <w:b/>
          <w:bCs/>
          <w:color w:val="2D6A4F"/>
          <w:sz w:val="18"/>
          <w:szCs w:val="18"/>
        </w:rPr>
        <w:t xml:space="preserve">PASTE  </w:t>
      </w:r>
      <w:r>
        <w:rPr>
          <w:sz w:val="22"/>
          <w:szCs w:val="22"/>
        </w:rPr>
        <w:t xml:space="preserve">Car-era neighborhoods (1940–1990) inherited a different built form. Larger lots. Wider setbacks. Sidewalks treated as optional in subdivision rules — and routinely omitted to reduce construction costs.</w:t>
      </w:r>
    </w:p>
    <w:p>
      <w:pPr>
        <w:pStyle w:val="Heading4"/>
        <w:spacing w:after="60" w:before="160"/>
      </w:pPr>
      <w:r>
        <w:rPr>
          <w:b/>
          <w:bCs/>
          <w:color w:val="1B3A4B"/>
          <w:sz w:val="22"/>
          <w:szCs w:val="22"/>
        </w:rPr>
        <w:t xml:space="preserve">Slide 2 — The numbers</w:t>
      </w:r>
    </w:p>
    <w:p>
      <w:pPr>
        <w:pBdr>
          <w:left w:val="single" w:color="2D6A4F" w:sz="12" w:space="8"/>
        </w:pBdr>
        <w:spacing w:after="120"/>
        <w:ind w:left="360"/>
      </w:pPr>
      <w:r>
        <w:rPr>
          <w:b/>
          <w:bCs/>
          <w:color w:val="2D6A4F"/>
          <w:sz w:val="18"/>
          <w:szCs w:val="18"/>
        </w:rPr>
        <w:t xml:space="preserve">PASTE  </w:t>
      </w:r>
      <w:r>
        <w:rPr>
          <w:sz w:val="22"/>
          <w:szCs w:val="22"/>
        </w:rPr>
        <w:t xml:space="preserve">Across all three peer cities, car-era neighborhoods are the largest single source of missing sidewalk.</w:t>
      </w:r>
    </w:p>
    <w:p>
      <w:pPr>
        <w:pBdr>
          <w:left w:val="single" w:color="2D6A4F" w:sz="12" w:space="8"/>
        </w:pBdr>
        <w:spacing w:after="120"/>
        <w:ind w:left="360"/>
      </w:pPr>
      <w:r>
        <w:rPr>
          <w:b/>
          <w:bCs/>
          <w:color w:val="2D6A4F"/>
          <w:sz w:val="18"/>
          <w:szCs w:val="18"/>
        </w:rPr>
        <w:t xml:space="preserve">PASTE  </w:t>
      </w:r>
      <w:r>
        <w:rPr>
          <w:sz w:val="22"/>
          <w:szCs w:val="22"/>
        </w:rPr>
        <w:t xml:space="preserve">In Seattle, 74% of all gaps fall in car-era neighborhoods — a clear supermajority.</w:t>
      </w:r>
    </w:p>
    <w:p>
      <w:pPr>
        <w:pBdr>
          <w:left w:val="single" w:color="2D6A4F" w:sz="12" w:space="8"/>
        </w:pBdr>
        <w:spacing w:after="120"/>
        <w:ind w:left="360"/>
      </w:pPr>
      <w:r>
        <w:rPr>
          <w:b/>
          <w:bCs/>
          <w:color w:val="2D6A4F"/>
          <w:sz w:val="18"/>
          <w:szCs w:val="18"/>
        </w:rPr>
        <w:t xml:space="preserve">PASTE  </w:t>
      </w:r>
      <w:r>
        <w:rPr>
          <w:sz w:val="22"/>
          <w:szCs w:val="22"/>
        </w:rPr>
        <w:t xml:space="preserve">In Denver, 35%. In Minneapolis, 41%. The streetcar-era share is far smaller in every case: 16% Denver, 15% Seattle, 18% Minneapolis.</w:t>
      </w:r>
    </w:p>
    <w:p>
      <w:pPr>
        <w:pBdr>
          <w:left w:val="single" w:color="2D6A4F" w:sz="12" w:space="8"/>
        </w:pBdr>
        <w:spacing w:after="120"/>
        <w:ind w:left="360"/>
      </w:pPr>
      <w:r>
        <w:rPr>
          <w:b/>
          <w:bCs/>
          <w:color w:val="2D6A4F"/>
          <w:sz w:val="18"/>
          <w:szCs w:val="18"/>
        </w:rPr>
        <w:t xml:space="preserve">PASTE  </w:t>
      </w:r>
      <w:r>
        <w:rPr>
          <w:sz w:val="22"/>
          <w:szCs w:val="22"/>
        </w:rPr>
        <w:t xml:space="preserve">The era a neighborhood was built is the strongest single predictor of whether it has a complete sidewalk today.</w:t>
      </w:r>
    </w:p>
    <w:p>
      <w:pPr>
        <w:pStyle w:val="Heading4"/>
        <w:spacing w:after="60" w:before="160"/>
      </w:pPr>
      <w:r>
        <w:rPr>
          <w:b/>
          <w:bCs/>
          <w:color w:val="1B3A4B"/>
          <w:sz w:val="22"/>
          <w:szCs w:val="22"/>
        </w:rPr>
        <w:t xml:space="preserve">Slide 3 — Why retrofit is harder than building</w:t>
      </w:r>
    </w:p>
    <w:p>
      <w:pPr>
        <w:pBdr>
          <w:left w:val="single" w:color="2D6A4F" w:sz="12" w:space="8"/>
        </w:pBdr>
        <w:spacing w:after="120"/>
        <w:ind w:left="360"/>
      </w:pPr>
      <w:r>
        <w:rPr>
          <w:b/>
          <w:bCs/>
          <w:color w:val="2D6A4F"/>
          <w:sz w:val="18"/>
          <w:szCs w:val="18"/>
        </w:rPr>
        <w:t xml:space="preserve">PASTE  </w:t>
      </w:r>
      <w:r>
        <w:rPr>
          <w:sz w:val="22"/>
          <w:szCs w:val="22"/>
        </w:rPr>
        <w:t xml:space="preserve">Installing sidewalks during initial development is inexpensive. The right-of-way is open. Drainage is being graded. Curb-and-gutter is already part of the street cross-section.</w:t>
      </w:r>
    </w:p>
    <w:p>
      <w:pPr>
        <w:pBdr>
          <w:left w:val="single" w:color="2D6A4F" w:sz="12" w:space="8"/>
        </w:pBdr>
        <w:spacing w:after="120"/>
        <w:ind w:left="360"/>
      </w:pPr>
      <w:r>
        <w:rPr>
          <w:b/>
          <w:bCs/>
          <w:color w:val="2D6A4F"/>
          <w:sz w:val="18"/>
          <w:szCs w:val="18"/>
        </w:rPr>
        <w:t xml:space="preserve">PASTE  </w:t>
      </w:r>
      <w:r>
        <w:rPr>
          <w:sz w:val="22"/>
          <w:szCs w:val="22"/>
        </w:rPr>
        <w:t xml:space="preserve">Retrofitting a car-era neighborhood today is several times more expensive. Many of these neighborhoods skipped curb-and-gutter altogether, so adding sidewalks requires concurrent stormwater retrofit. Public right-of-way may have been informally claimed by adjacent property owners over decades. Tree preservation, utility relocation, and grading constraints compound the cost.</w:t>
      </w:r>
    </w:p>
    <w:p>
      <w:pPr>
        <w:pBdr>
          <w:left w:val="single" w:color="2D6A4F" w:sz="12" w:space="8"/>
        </w:pBdr>
        <w:spacing w:after="120"/>
        <w:ind w:left="360"/>
      </w:pPr>
      <w:r>
        <w:rPr>
          <w:b/>
          <w:bCs/>
          <w:color w:val="2D6A4F"/>
          <w:sz w:val="18"/>
          <w:szCs w:val="18"/>
        </w:rPr>
        <w:t xml:space="preserve">PASTE  </w:t>
      </w:r>
      <w:r>
        <w:rPr>
          <w:sz w:val="22"/>
          <w:szCs w:val="22"/>
        </w:rPr>
        <w:t xml:space="preserve">This is what 'path dependency' means in practice: every year a city defers reform, the cost of fixing what's missing grows. The original decision was cheap. The retrofit isn't.</w:t>
      </w:r>
    </w:p>
    <w:p>
      <w:pPr>
        <w:pStyle w:val="Heading3"/>
        <w:spacing w:after="80" w:before="200"/>
      </w:pPr>
      <w:r>
        <w:rPr>
          <w:b/>
          <w:bCs/>
          <w:color w:val="B2542C"/>
          <w:sz w:val="24"/>
          <w:szCs w:val="24"/>
        </w:rPr>
        <w:t xml:space="preserve">Visuals</w:t>
      </w:r>
    </w:p>
    <w:p>
      <w:pPr>
        <w:pStyle w:val="ListParagraph"/>
        <w:numPr>
          <w:ilvl w:val="0"/>
          <w:numId w:val="2"/>
        </w:numPr>
        <w:spacing w:after="60"/>
      </w:pPr>
      <w:r>
        <w:rPr>
          <w:sz w:val="22"/>
          <w:szCs w:val="22"/>
        </w:rPr>
        <w:t xml:space="preserve">Slide 1 map: Denver basemap. Two-tone overlay — pre-1940 parcels in one tint, post-1940 in another. Missing sidewalk segments overlaid in rust.</w:t>
      </w:r>
    </w:p>
    <w:p>
      <w:pPr>
        <w:pStyle w:val="ListParagraph"/>
        <w:numPr>
          <w:ilvl w:val="0"/>
          <w:numId w:val="2"/>
        </w:numPr>
        <w:spacing w:after="60"/>
      </w:pPr>
      <w:r>
        <w:rPr>
          <w:sz w:val="22"/>
          <w:szCs w:val="22"/>
        </w:rPr>
        <w:t xml:space="preserve">Slide 2: a clean three-city bar chart from Table 3 in the capstone. Use the era-based percentages directly. Anchor visually so the 74% Seattle figure stands out.</w:t>
      </w:r>
    </w:p>
    <w:p>
      <w:pPr>
        <w:pStyle w:val="ListParagraph"/>
        <w:numPr>
          <w:ilvl w:val="0"/>
          <w:numId w:val="2"/>
        </w:numPr>
        <w:spacing w:after="60"/>
      </w:pPr>
      <w:r>
        <w:rPr>
          <w:sz w:val="22"/>
          <w:szCs w:val="22"/>
        </w:rPr>
        <w:t xml:space="preserve">Slide 3 visual: a side-by-side schematic of two neighborhood cross-sections. LEFT: streetcar-era — narrow lot, sidewalk + curb + gutter integrated. RIGHT: car-era — wide lot, no curb-and-gutter, drainage swale, sidewalk would require complete reconstruction. Annotate the cost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 SECTION 4</w:t>
            </w:r>
          </w:p>
          <w:p>
            <w:pPr>
              <w:spacing w:after="40"/>
            </w:pPr>
            <w:r>
              <w:rPr>
                <w:color w:val="5C5C5C"/>
                <w:sz w:val="20"/>
                <w:szCs w:val="20"/>
              </w:rPr>
              <w:t xml:space="preserve">Block: Sidecar. 3 slides.</w:t>
            </w:r>
          </w:p>
          <w:p>
            <w:pPr>
              <w:spacing w:after="40"/>
            </w:pPr>
            <w:r>
              <w:rPr>
                <w:color w:val="5C5C5C"/>
                <w:sz w:val="20"/>
                <w:szCs w:val="20"/>
              </w:rPr>
              <w:t xml:space="preserve">Slide 1 web map: Denver_Era_x_Gaps. Layers: parcel polygons classified by era,</w:t>
            </w:r>
          </w:p>
          <w:p>
            <w:pPr>
              <w:spacing w:after="40"/>
            </w:pPr>
            <w:r>
              <w:rPr>
                <w:color w:val="5C5C5C"/>
                <w:sz w:val="20"/>
                <w:szCs w:val="20"/>
              </w:rPr>
              <w:t xml:space="preserve">  sidewalk centerlines classified by status. Use the same color logic as Section 3 for sidewalks.</w:t>
            </w:r>
          </w:p>
          <w:p>
            <w:pPr>
              <w:spacing w:after="40"/>
            </w:pPr>
            <w:r>
              <w:rPr>
                <w:color w:val="5C5C5C"/>
                <w:sz w:val="20"/>
                <w:szCs w:val="20"/>
              </w:rPr>
              <w:t xml:space="preserve">Slide 2 chart: build in D3 or recharts as embedded HTML, OR export from your analysis as PNG.</w:t>
            </w:r>
          </w:p>
          <w:p>
            <w:pPr>
              <w:spacing w:after="40"/>
            </w:pPr>
            <w:r>
              <w:rPr>
                <w:color w:val="5C5C5C"/>
                <w:sz w:val="20"/>
                <w:szCs w:val="20"/>
              </w:rPr>
              <w:t xml:space="preserve">  Bar chart with grouped bars per city, color-coded by era.</w:t>
            </w:r>
          </w:p>
          <w:p>
            <w:pPr>
              <w:spacing w:after="40"/>
            </w:pPr>
            <w:r>
              <w:rPr>
                <w:color w:val="5C5C5C"/>
                <w:sz w:val="20"/>
                <w:szCs w:val="20"/>
              </w:rPr>
              <w:t xml:space="preserve">Slide 3 schematic: two-panel illustration — commission this OR build in Figma.</w:t>
            </w:r>
          </w:p>
          <w:p>
            <w:pPr>
              <w:spacing w:after="40"/>
            </w:pPr>
            <w:r>
              <w:rPr>
                <w:color w:val="5C5C5C"/>
                <w:sz w:val="20"/>
                <w:szCs w:val="20"/>
              </w:rPr>
              <w:t xml:space="preserve">  Reference the Auditor's Figure 2 illustration style for visual consistency.</w:t>
            </w:r>
          </w:p>
          <w:p>
            <w:pPr>
              <w:spacing w:after="40"/>
            </w:pPr>
            <w:r>
              <w:rPr>
                <w:color w:val="5C5C5C"/>
                <w:sz w:val="20"/>
                <w:szCs w:val="20"/>
              </w:rPr>
              <w:t xml:space="preserve">DATA SOURCE: capstone Section 4.2, Table 3. Numbers are the spine of this section —</w:t>
            </w:r>
          </w:p>
          <w:p>
            <w:pPr>
              <w:spacing w:after="40"/>
            </w:pPr>
            <w:r>
              <w:rPr>
                <w:color w:val="5C5C5C"/>
                <w:sz w:val="20"/>
                <w:szCs w:val="20"/>
              </w:rPr>
              <w:t xml:space="preserve">  any change to those tables flows through here.</w:t>
            </w:r>
          </w:p>
        </w:tc>
      </w:tr>
    </w:tbl>
    <w:p>
      <w:pPr>
        <w:pBdr>
          <w:top w:val="single" w:color="1B3A4B" w:sz="16" w:space="8"/>
        </w:pBdr>
        <w:spacing w:after="120" w:before="240"/>
      </w:pPr>
      <w:r>
        <w:t xml:space="preserve"/>
      </w:r>
    </w:p>
    <w:p>
      <w:pPr>
        <w:spacing w:after="60"/>
      </w:pPr>
      <w:r>
        <w:rPr>
          <w:b/>
          <w:bCs/>
          <w:color w:val="B2542C"/>
          <w:sz w:val="22"/>
          <w:szCs w:val="22"/>
        </w:rPr>
        <w:t xml:space="preserve">SECTION 5  </w:t>
      </w:r>
      <w:r>
        <w:rPr>
          <w:color w:val="5C5C5C"/>
          <w:sz w:val="20"/>
          <w:szCs w:val="20"/>
        </w:rPr>
        <w:t xml:space="preserve">· Sidecar — multi-layer equity, honest framing  ·  </w:t>
      </w:r>
      <w:r>
        <w:rPr>
          <w:i/>
          <w:iCs/>
          <w:color w:val="1B3A4B"/>
          <w:sz w:val="20"/>
          <w:szCs w:val="20"/>
        </w:rPr>
        <w:t xml:space="preserve">What your data actually shows — and what it doesn't.</w:t>
      </w:r>
    </w:p>
    <w:p>
      <w:pPr>
        <w:pStyle w:val="Heading1"/>
        <w:spacing w:after="240"/>
      </w:pPr>
      <w:r>
        <w:rPr>
          <w:b/>
          <w:bCs/>
          <w:color w:val="1B3A4B"/>
          <w:sz w:val="40"/>
          <w:szCs w:val="40"/>
        </w:rPr>
        <w:t xml:space="preserve">Three Equity Layers</w:t>
      </w:r>
    </w:p>
    <w:p>
      <w:pPr>
        <w:spacing w:after="120"/>
      </w:pPr>
      <w:r>
        <w:rPr>
          <w:sz w:val="22"/>
          <w:szCs w:val="22"/>
        </w:rPr>
        <w:t xml:space="preserve">This section replaces v2's redlining-led equity section. The capstone's Section 4.3 finding is genuinely more interesting than 'redlining caused this' — and more useful for convincing skeptical audiences. The three-layer framing comes directly from your Section 5.4.</w:t>
      </w:r>
    </w:p>
    <w:p>
      <w:pPr>
        <w:pStyle w:val="Heading4"/>
        <w:spacing w:after="60" w:before="160"/>
      </w:pPr>
      <w:r>
        <w:rPr>
          <w:b/>
          <w:bCs/>
          <w:color w:val="1B3A4B"/>
          <w:sz w:val="22"/>
          <w:szCs w:val="22"/>
        </w:rPr>
        <w:t xml:space="preserve">Slide 1 — The redlined-cores layer</w:t>
      </w:r>
    </w:p>
    <w:p>
      <w:pPr>
        <w:pBdr>
          <w:left w:val="single" w:color="2D6A4F" w:sz="12" w:space="8"/>
        </w:pBdr>
        <w:spacing w:after="120"/>
        <w:ind w:left="360"/>
      </w:pPr>
      <w:r>
        <w:rPr>
          <w:b/>
          <w:bCs/>
          <w:color w:val="2D6A4F"/>
          <w:sz w:val="18"/>
          <w:szCs w:val="18"/>
        </w:rPr>
        <w:t xml:space="preserve">PASTE  </w:t>
      </w:r>
      <w:r>
        <w:rPr>
          <w:sz w:val="22"/>
          <w:szCs w:val="22"/>
        </w:rPr>
        <w:t xml:space="preserve">In Denver and Minneapolis, neighborhoods graded C and D under the 1930s federal redlining maps show notably higher rates of missing sidewalks than neighborhoods graded A or B.</w:t>
      </w:r>
    </w:p>
    <w:p>
      <w:pPr>
        <w:pBdr>
          <w:left w:val="single" w:color="2D6A4F" w:sz="12" w:space="8"/>
        </w:pBdr>
        <w:spacing w:after="120"/>
        <w:ind w:left="360"/>
      </w:pPr>
      <w:r>
        <w:rPr>
          <w:b/>
          <w:bCs/>
          <w:color w:val="2D6A4F"/>
          <w:sz w:val="18"/>
          <w:szCs w:val="18"/>
        </w:rPr>
        <w:t xml:space="preserve">PASTE  </w:t>
      </w:r>
      <w:r>
        <w:rPr>
          <w:sz w:val="22"/>
          <w:szCs w:val="22"/>
        </w:rPr>
        <w:t xml:space="preserve">In Denver, C and D areas account for 26% of total gaps. A and B areas account for only 13%.</w:t>
      </w:r>
    </w:p>
    <w:p>
      <w:pPr>
        <w:pBdr>
          <w:left w:val="single" w:color="2D6A4F" w:sz="12" w:space="8"/>
        </w:pBdr>
        <w:spacing w:after="120"/>
        <w:ind w:left="360"/>
      </w:pPr>
      <w:r>
        <w:rPr>
          <w:b/>
          <w:bCs/>
          <w:color w:val="2D6A4F"/>
          <w:sz w:val="18"/>
          <w:szCs w:val="18"/>
        </w:rPr>
        <w:t xml:space="preserve">PASTE  </w:t>
      </w:r>
      <w:r>
        <w:rPr>
          <w:sz w:val="22"/>
          <w:szCs w:val="22"/>
        </w:rPr>
        <w:t xml:space="preserve">In Minneapolis, the pattern is similar — C and D areas combined hold 38% of gaps.</w:t>
      </w:r>
    </w:p>
    <w:p>
      <w:pPr>
        <w:pBdr>
          <w:left w:val="single" w:color="2D6A4F" w:sz="12" w:space="8"/>
        </w:pBdr>
        <w:spacing w:after="120"/>
        <w:ind w:left="360"/>
      </w:pPr>
      <w:r>
        <w:rPr>
          <w:b/>
          <w:bCs/>
          <w:color w:val="2D6A4F"/>
          <w:sz w:val="18"/>
          <w:szCs w:val="18"/>
        </w:rPr>
        <w:t xml:space="preserve">PASTE  </w:t>
      </w:r>
      <w:r>
        <w:rPr>
          <w:sz w:val="22"/>
          <w:szCs w:val="22"/>
        </w:rPr>
        <w:t xml:space="preserve">Where this pattern shows up, it's evidence that historical disinvestment didn't end with the maps. It compounded into the physical infrastructure, and the gaps are still there.</w:t>
      </w:r>
    </w:p>
    <w:p>
      <w:pPr>
        <w:spacing w:after="100"/>
        <w:ind w:left="360"/>
      </w:pPr>
      <w:r>
        <w:rPr>
          <w:b/>
          <w:bCs/>
          <w:color w:val="8B0000"/>
          <w:sz w:val="18"/>
          <w:szCs w:val="18"/>
        </w:rPr>
        <w:t xml:space="preserve">⚠ VERIFY:  </w:t>
      </w:r>
      <w:r>
        <w:rPr>
          <w:color w:val="8B0000"/>
          <w:sz w:val="18"/>
          <w:szCs w:val="18"/>
        </w:rPr>
        <w:t xml:space="preserve">Denver C+D = 26%, A+B = 13% of gaps</w:t>
      </w:r>
      <w:r>
        <w:rPr>
          <w:i/>
          <w:iCs/>
          <w:color w:val="5C5C5C"/>
          <w:sz w:val="18"/>
          <w:szCs w:val="18"/>
        </w:rPr>
        <w:t xml:space="preserve">  [Source: Capstone Table 5]</w:t>
      </w:r>
    </w:p>
    <w:p>
      <w:pPr>
        <w:pStyle w:val="Heading4"/>
        <w:spacing w:after="60" w:before="160"/>
      </w:pPr>
      <w:r>
        <w:rPr>
          <w:b/>
          <w:bCs/>
          <w:color w:val="1B3A4B"/>
          <w:sz w:val="22"/>
          <w:szCs w:val="22"/>
        </w:rPr>
        <w:t xml:space="preserve">Slide 2 — Seattle complicates the picture</w:t>
      </w:r>
    </w:p>
    <w:p>
      <w:pPr>
        <w:pBdr>
          <w:left w:val="single" w:color="2D6A4F" w:sz="12" w:space="8"/>
        </w:pBdr>
        <w:spacing w:after="120"/>
        <w:ind w:left="360"/>
      </w:pPr>
      <w:r>
        <w:rPr>
          <w:b/>
          <w:bCs/>
          <w:color w:val="2D6A4F"/>
          <w:sz w:val="18"/>
          <w:szCs w:val="18"/>
        </w:rPr>
        <w:t xml:space="preserve">PASTE  </w:t>
      </w:r>
      <w:r>
        <w:rPr>
          <w:sz w:val="22"/>
          <w:szCs w:val="22"/>
        </w:rPr>
        <w:t xml:space="preserve">Seattle tells a different story. Grade D areas there account for only 7% of gaps — less than Grade B (12%) or Grade C (15%). The neighborhoods that were redlined in 1938 are the same neighborhoods that were already built out with sidewalks during streetcar-era construction, before HOLC ever drew its maps.</w:t>
      </w:r>
    </w:p>
    <w:p>
      <w:pPr>
        <w:pBdr>
          <w:left w:val="single" w:color="2D6A4F" w:sz="12" w:space="8"/>
        </w:pBdr>
        <w:spacing w:after="120"/>
        <w:ind w:left="360"/>
      </w:pPr>
      <w:r>
        <w:rPr>
          <w:b/>
          <w:bCs/>
          <w:color w:val="2D6A4F"/>
          <w:sz w:val="18"/>
          <w:szCs w:val="18"/>
        </w:rPr>
        <w:t xml:space="preserve">PASTE  </w:t>
      </w:r>
      <w:r>
        <w:rPr>
          <w:sz w:val="22"/>
          <w:szCs w:val="22"/>
        </w:rPr>
        <w:t xml:space="preserve">Seattle's missing sidewalks are concentrated somewhere else: in the northern annexations the city absorbed after 1953, which were never surveyed by HOLC and were built under car-era county standards that didn't require sidewalks at all.</w:t>
      </w:r>
    </w:p>
    <w:p>
      <w:pPr>
        <w:pBdr>
          <w:left w:val="single" w:color="2D6A4F" w:sz="12" w:space="8"/>
        </w:pBdr>
        <w:spacing w:after="120"/>
        <w:ind w:left="360"/>
      </w:pPr>
      <w:r>
        <w:rPr>
          <w:b/>
          <w:bCs/>
          <w:color w:val="2D6A4F"/>
          <w:sz w:val="18"/>
          <w:szCs w:val="18"/>
        </w:rPr>
        <w:t xml:space="preserve">PASTE  </w:t>
      </w:r>
      <w:r>
        <w:rPr>
          <w:sz w:val="22"/>
          <w:szCs w:val="22"/>
        </w:rPr>
        <w:t xml:space="preserve">In Seattle, 62% of all sidewalk gaps fall in HOLC-ungraded areas. In Denver, 61%. In Minneapolis, 39%.</w:t>
      </w:r>
    </w:p>
    <w:p>
      <w:pPr>
        <w:pBdr>
          <w:left w:val="single" w:color="2D6A4F" w:sz="12" w:space="8"/>
        </w:pBdr>
        <w:spacing w:after="120"/>
        <w:ind w:left="360"/>
      </w:pPr>
      <w:r>
        <w:rPr>
          <w:b/>
          <w:bCs/>
          <w:color w:val="2D6A4F"/>
          <w:sz w:val="18"/>
          <w:szCs w:val="18"/>
        </w:rPr>
        <w:t xml:space="preserve">PASTE  </w:t>
      </w:r>
      <w:r>
        <w:rPr>
          <w:sz w:val="22"/>
          <w:szCs w:val="22"/>
        </w:rPr>
        <w:t xml:space="preserve">This is the second equity layer: not the legacy of redlining, but the legacy of car-era development standards in places HOLC never looked.</w:t>
      </w:r>
    </w:p>
    <w:p>
      <w:pPr>
        <w:spacing w:after="100"/>
        <w:ind w:left="360"/>
      </w:pPr>
      <w:r>
        <w:rPr>
          <w:b/>
          <w:bCs/>
          <w:color w:val="8B0000"/>
          <w:sz w:val="18"/>
          <w:szCs w:val="18"/>
        </w:rPr>
        <w:t xml:space="preserve">⚠ VERIFY:  </w:t>
      </w:r>
      <w:r>
        <w:rPr>
          <w:color w:val="8B0000"/>
          <w:sz w:val="18"/>
          <w:szCs w:val="18"/>
        </w:rPr>
        <w:t xml:space="preserve">Ungraded share figures (Denver 61, Seattle 62, Minneapolis 39)</w:t>
      </w:r>
      <w:r>
        <w:rPr>
          <w:i/>
          <w:iCs/>
          <w:color w:val="5C5C5C"/>
          <w:sz w:val="18"/>
          <w:szCs w:val="18"/>
        </w:rPr>
        <w:t xml:space="preserve">  [Source: Capstone Table 5]</w:t>
      </w:r>
    </w:p>
    <w:p>
      <w:pPr>
        <w:pStyle w:val="Heading4"/>
        <w:spacing w:after="60" w:before="160"/>
      </w:pPr>
      <w:r>
        <w:rPr>
          <w:b/>
          <w:bCs/>
          <w:color w:val="1B3A4B"/>
          <w:sz w:val="22"/>
          <w:szCs w:val="22"/>
        </w:rPr>
        <w:t xml:space="preserve">Slide 3 — The transit-proximity layer</w:t>
      </w:r>
    </w:p>
    <w:p>
      <w:pPr>
        <w:pBdr>
          <w:left w:val="single" w:color="2D6A4F" w:sz="12" w:space="8"/>
        </w:pBdr>
        <w:spacing w:after="120"/>
        <w:ind w:left="360"/>
      </w:pPr>
      <w:r>
        <w:rPr>
          <w:b/>
          <w:bCs/>
          <w:color w:val="2D6A4F"/>
          <w:sz w:val="18"/>
          <w:szCs w:val="18"/>
        </w:rPr>
        <w:t xml:space="preserve">PASTE  </w:t>
      </w:r>
      <w:r>
        <w:rPr>
          <w:sz w:val="22"/>
          <w:szCs w:val="22"/>
        </w:rPr>
        <w:t xml:space="preserve">There's a third layer. Even within a quarter mile of historic streetcar lines — the most pedestrian-dependent corridors in any city — sidewalk completeness was never uniform.</w:t>
      </w:r>
    </w:p>
    <w:p>
      <w:pPr>
        <w:pBdr>
          <w:left w:val="single" w:color="2D6A4F" w:sz="12" w:space="8"/>
        </w:pBdr>
        <w:spacing w:after="120"/>
        <w:ind w:left="360"/>
      </w:pPr>
      <w:r>
        <w:rPr>
          <w:b/>
          <w:bCs/>
          <w:color w:val="2D6A4F"/>
          <w:sz w:val="18"/>
          <w:szCs w:val="18"/>
        </w:rPr>
        <w:t xml:space="preserve">PASTE  </w:t>
      </w:r>
      <w:r>
        <w:rPr>
          <w:sz w:val="22"/>
          <w:szCs w:val="22"/>
        </w:rPr>
        <w:t xml:space="preserve">In Denver, 65% of sidewalk gaps fall within a quarter mile of a historic streetcar line. In Minneapolis, 66%. The transit was there. The sidewalk often wasn't.</w:t>
      </w:r>
    </w:p>
    <w:p>
      <w:pPr>
        <w:pBdr>
          <w:left w:val="single" w:color="2D6A4F" w:sz="12" w:space="8"/>
        </w:pBdr>
        <w:spacing w:after="120"/>
        <w:ind w:left="360"/>
      </w:pPr>
      <w:r>
        <w:rPr>
          <w:b/>
          <w:bCs/>
          <w:color w:val="2D6A4F"/>
          <w:sz w:val="18"/>
          <w:szCs w:val="18"/>
        </w:rPr>
        <w:t xml:space="preserve">PASTE  </w:t>
      </w:r>
      <w:r>
        <w:rPr>
          <w:sz w:val="22"/>
          <w:szCs w:val="22"/>
        </w:rPr>
        <w:t xml:space="preserve">Modern transit investment inherits this geometry. As cities expand bus rapid transit and light rail, the assumption that nearby pedestrian infrastructure already exists is often wrong — particularly in the neighborhoods most likely to depend on transit. Without coordinated sidewalk investment, transit expansion replicates the same gap.</w:t>
      </w:r>
    </w:p>
    <w:p>
      <w:pPr>
        <w:spacing w:after="100"/>
        <w:ind w:left="360"/>
      </w:pPr>
      <w:r>
        <w:rPr>
          <w:b/>
          <w:bCs/>
          <w:color w:val="8B0000"/>
          <w:sz w:val="18"/>
          <w:szCs w:val="18"/>
        </w:rPr>
        <w:t xml:space="preserve">⚠ VERIFY:  </w:t>
      </w:r>
      <w:r>
        <w:rPr>
          <w:color w:val="8B0000"/>
          <w:sz w:val="18"/>
          <w:szCs w:val="18"/>
        </w:rPr>
        <w:t xml:space="preserve">Streetcar buffer percentages (Denver 65%, Minneapolis 66%, Seattle 30%)</w:t>
      </w:r>
      <w:r>
        <w:rPr>
          <w:i/>
          <w:iCs/>
          <w:color w:val="5C5C5C"/>
          <w:sz w:val="18"/>
          <w:szCs w:val="18"/>
        </w:rPr>
        <w:t xml:space="preserve">  [Source: Capstone Table 6]</w:t>
      </w:r>
    </w:p>
    <w:p>
      <w:pPr>
        <w:pStyle w:val="Heading4"/>
        <w:spacing w:after="60" w:before="160"/>
      </w:pPr>
      <w:r>
        <w:rPr>
          <w:b/>
          <w:bCs/>
          <w:color w:val="1B3A4B"/>
          <w:sz w:val="22"/>
          <w:szCs w:val="22"/>
        </w:rPr>
        <w:t xml:space="preserve">Slide 4 — What this means for prioritization</w:t>
      </w:r>
    </w:p>
    <w:p>
      <w:pPr>
        <w:pBdr>
          <w:left w:val="single" w:color="2D6A4F" w:sz="12" w:space="8"/>
        </w:pBdr>
        <w:spacing w:after="120"/>
        <w:ind w:left="360"/>
      </w:pPr>
      <w:r>
        <w:rPr>
          <w:b/>
          <w:bCs/>
          <w:color w:val="2D6A4F"/>
          <w:sz w:val="18"/>
          <w:szCs w:val="18"/>
        </w:rPr>
        <w:t xml:space="preserve">PASTE  </w:t>
      </w:r>
      <w:r>
        <w:rPr>
          <w:sz w:val="22"/>
          <w:szCs w:val="22"/>
        </w:rPr>
        <w:t xml:space="preserve">Any equity-based prioritization that focuses only on historically redlined areas will miss the majority of the network's gaps. Any prioritization that focuses only on car-era peripheries will miss the concentrated disinvestment in older urban cores. Any prioritization that ignores transit corridors will rebuild infrastructure that doesn't reach where people are trying to go.</w:t>
      </w:r>
    </w:p>
    <w:p>
      <w:pPr>
        <w:pBdr>
          <w:left w:val="single" w:color="2D6A4F" w:sz="12" w:space="8"/>
        </w:pBdr>
        <w:spacing w:after="120"/>
        <w:ind w:left="360"/>
      </w:pPr>
      <w:r>
        <w:rPr>
          <w:b/>
          <w:bCs/>
          <w:color w:val="2D6A4F"/>
          <w:sz w:val="18"/>
          <w:szCs w:val="18"/>
        </w:rPr>
        <w:t xml:space="preserve">PASTE  </w:t>
      </w:r>
      <w:r>
        <w:rPr>
          <w:sz w:val="22"/>
          <w:szCs w:val="22"/>
        </w:rPr>
        <w:t xml:space="preserve">All three layers are real. None is the whole picture. Effective reform names which layers are most pronounced in each city — and prioritizes accordingly.</w:t>
      </w:r>
    </w:p>
    <w:p>
      <w:pPr>
        <w:pStyle w:val="Heading3"/>
        <w:spacing w:after="80" w:before="200"/>
      </w:pPr>
      <w:r>
        <w:rPr>
          <w:b/>
          <w:bCs/>
          <w:color w:val="B2542C"/>
          <w:sz w:val="24"/>
          <w:szCs w:val="24"/>
        </w:rPr>
        <w:t xml:space="preserve">Visuals</w:t>
      </w:r>
    </w:p>
    <w:p>
      <w:pPr>
        <w:pStyle w:val="ListParagraph"/>
        <w:numPr>
          <w:ilvl w:val="0"/>
          <w:numId w:val="2"/>
        </w:numPr>
        <w:spacing w:after="60"/>
      </w:pPr>
      <w:r>
        <w:rPr>
          <w:sz w:val="22"/>
          <w:szCs w:val="22"/>
        </w:rPr>
        <w:t xml:space="preserve">Slide 1 map: Denver HOLC grades + missing sidewalk overlay. Use original 1938 grade colors (green/blue/yellow/red); do not recolor.</w:t>
      </w:r>
    </w:p>
    <w:p>
      <w:pPr>
        <w:pStyle w:val="ListParagraph"/>
        <w:numPr>
          <w:ilvl w:val="0"/>
          <w:numId w:val="2"/>
        </w:numPr>
        <w:spacing w:after="60"/>
      </w:pPr>
      <w:r>
        <w:rPr>
          <w:sz w:val="22"/>
          <w:szCs w:val="22"/>
        </w:rPr>
        <w:t xml:space="preserve">Slide 2 map: Seattle HOLC grades + missing sidewalk overlay, with a separate fill for ungraded areas. The visual point — that the missing sidewalk concentrates in the white space — should land without commentary.</w:t>
      </w:r>
    </w:p>
    <w:p>
      <w:pPr>
        <w:pStyle w:val="ListParagraph"/>
        <w:numPr>
          <w:ilvl w:val="0"/>
          <w:numId w:val="2"/>
        </w:numPr>
        <w:spacing w:after="60"/>
      </w:pPr>
      <w:r>
        <w:rPr>
          <w:sz w:val="22"/>
          <w:szCs w:val="22"/>
        </w:rPr>
        <w:t xml:space="preserve">Slide 3 map: any of the three cities (Denver works) showing historic streetcar lines with ¼-mile buffers, overlaid with current sidewalk gaps.</w:t>
      </w:r>
    </w:p>
    <w:p>
      <w:pPr>
        <w:pStyle w:val="ListParagraph"/>
        <w:numPr>
          <w:ilvl w:val="0"/>
          <w:numId w:val="2"/>
        </w:numPr>
        <w:spacing w:after="60"/>
      </w:pPr>
      <w:r>
        <w:rPr>
          <w:sz w:val="22"/>
          <w:szCs w:val="22"/>
        </w:rPr>
        <w:t xml:space="preserve">Slide 4 visual: a simple three-circle Venn-style diagram showing the three equity layers and their overlaps. Caption: 'Where your city's gaps live shapes which layer matters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 SECTION 5</w:t>
            </w:r>
          </w:p>
          <w:p>
            <w:pPr>
              <w:spacing w:after="40"/>
            </w:pPr>
            <w:r>
              <w:rPr>
                <w:color w:val="5C5C5C"/>
                <w:sz w:val="20"/>
                <w:szCs w:val="20"/>
              </w:rPr>
              <w:t xml:space="preserve">Block: Sidecar. 4 slides.</w:t>
            </w:r>
          </w:p>
          <w:p>
            <w:pPr>
              <w:spacing w:after="40"/>
            </w:pPr>
            <w:r>
              <w:rPr>
                <w:color w:val="5C5C5C"/>
                <w:sz w:val="20"/>
                <w:szCs w:val="20"/>
              </w:rPr>
              <w:t xml:space="preserve">HOLC redlining layer: Mapping Inequality project (University of Richmond Digital Scholarship Lab).</w:t>
            </w:r>
          </w:p>
          <w:p>
            <w:pPr>
              <w:spacing w:after="40"/>
            </w:pPr>
            <w:r>
              <w:rPr>
                <w:color w:val="5C5C5C"/>
                <w:sz w:val="20"/>
                <w:szCs w:val="20"/>
              </w:rPr>
              <w:t xml:space="preserve">  Citation required per their license. Use original 1938 grade colors.</w:t>
            </w:r>
          </w:p>
          <w:p>
            <w:pPr>
              <w:spacing w:after="40"/>
            </w:pPr>
            <w:r>
              <w:rPr>
                <w:color w:val="5C5C5C"/>
                <w:sz w:val="20"/>
                <w:szCs w:val="20"/>
              </w:rPr>
              <w:t xml:space="preserve">Web maps needed:</w:t>
            </w:r>
          </w:p>
          <w:p>
            <w:pPr>
              <w:spacing w:after="40"/>
            </w:pPr>
            <w:r>
              <w:rPr>
                <w:color w:val="5C5C5C"/>
                <w:sz w:val="20"/>
                <w:szCs w:val="20"/>
              </w:rPr>
              <w:t xml:space="preserve">  Denver_HOLC_x_Gaps, Seattle_HOLC_x_Gaps_with_Ungraded, Denver_Streetcar_x_Gaps.</w:t>
            </w:r>
          </w:p>
          <w:p>
            <w:pPr>
              <w:spacing w:after="40"/>
            </w:pPr>
            <w:r>
              <w:rPr>
                <w:color w:val="5C5C5C"/>
                <w:sz w:val="20"/>
                <w:szCs w:val="20"/>
              </w:rPr>
              <w:t xml:space="preserve">FRAMING DISCIPLINE: Avoid any phrasing that overclaims redlining causation.</w:t>
            </w:r>
          </w:p>
          <w:p>
            <w:pPr>
              <w:spacing w:after="40"/>
            </w:pPr>
            <w:r>
              <w:rPr>
                <w:color w:val="5C5C5C"/>
                <w:sz w:val="20"/>
                <w:szCs w:val="20"/>
              </w:rPr>
              <w:t xml:space="preserve">  Capstone Section 5.4 is explicit that 'an equity-based prioritization framework</w:t>
            </w:r>
          </w:p>
          <w:p>
            <w:pPr>
              <w:spacing w:after="40"/>
            </w:pPr>
            <w:r>
              <w:rPr>
                <w:color w:val="5C5C5C"/>
                <w:sz w:val="20"/>
                <w:szCs w:val="20"/>
              </w:rPr>
              <w:t xml:space="preserve">  that focuses exclusively on historically redlined areas will miss substantial</w:t>
            </w:r>
          </w:p>
          <w:p>
            <w:pPr>
              <w:spacing w:after="40"/>
            </w:pPr>
            <w:r>
              <w:rPr>
                <w:color w:val="5C5C5C"/>
                <w:sz w:val="20"/>
                <w:szCs w:val="20"/>
              </w:rPr>
              <w:t xml:space="preserve">  concentrations of missing infrastructure.' This Story Map section says the same</w:t>
            </w:r>
          </w:p>
          <w:p>
            <w:pPr>
              <w:spacing w:after="40"/>
            </w:pPr>
            <w:r>
              <w:rPr>
                <w:color w:val="5C5C5C"/>
                <w:sz w:val="20"/>
                <w:szCs w:val="20"/>
              </w:rPr>
              <w:t xml:space="preserve">  thing in screen-friendly language.</w:t>
            </w:r>
          </w:p>
          <w:p>
            <w:pPr>
              <w:spacing w:after="40"/>
            </w:pPr>
            <w:r>
              <w:rPr>
                <w:color w:val="5C5C5C"/>
                <w:sz w:val="20"/>
                <w:szCs w:val="20"/>
              </w:rPr>
              <w:t xml:space="preserve">Tone: this section convinces practitioners precisely because it doesn't preach.</w:t>
            </w:r>
          </w:p>
          <w:p>
            <w:pPr>
              <w:spacing w:after="40"/>
            </w:pPr>
            <w:r>
              <w:rPr>
                <w:color w:val="5C5C5C"/>
                <w:sz w:val="20"/>
                <w:szCs w:val="20"/>
              </w:rPr>
              <w:t xml:space="preserve">  It shows three layers and lets the reader evaluate which one is most pronounced</w:t>
            </w:r>
          </w:p>
          <w:p>
            <w:pPr>
              <w:spacing w:after="40"/>
            </w:pPr>
            <w:r>
              <w:rPr>
                <w:color w:val="5C5C5C"/>
                <w:sz w:val="20"/>
                <w:szCs w:val="20"/>
              </w:rPr>
              <w:t xml:space="preserve">  in their city. That intellectual honesty is the persuasive move.</w:t>
            </w:r>
          </w:p>
        </w:tc>
      </w:tr>
    </w:tbl>
    <w:p>
      <w:pPr>
        <w:pBdr>
          <w:top w:val="single" w:color="1B3A4B" w:sz="16" w:space="8"/>
        </w:pBdr>
        <w:spacing w:after="120" w:before="240"/>
      </w:pPr>
      <w:r>
        <w:t xml:space="preserve"/>
      </w:r>
    </w:p>
    <w:p>
      <w:pPr>
        <w:spacing w:after="60"/>
      </w:pPr>
      <w:r>
        <w:rPr>
          <w:b/>
          <w:bCs/>
          <w:color w:val="B2542C"/>
          <w:sz w:val="22"/>
          <w:szCs w:val="22"/>
        </w:rPr>
        <w:t xml:space="preserve">SECTION 6  </w:t>
      </w:r>
      <w:r>
        <w:rPr>
          <w:color w:val="5C5C5C"/>
          <w:sz w:val="20"/>
          <w:szCs w:val="20"/>
        </w:rPr>
        <w:t xml:space="preserve">· Sidecar — historical pivot  ·  </w:t>
      </w:r>
      <w:r>
        <w:rPr>
          <w:i/>
          <w:iCs/>
          <w:color w:val="1B3A4B"/>
          <w:sz w:val="20"/>
          <w:szCs w:val="20"/>
        </w:rPr>
        <w:t xml:space="preserve">Establish that the trap was made, not inherited.</w:t>
      </w:r>
    </w:p>
    <w:p>
      <w:pPr>
        <w:pStyle w:val="Heading1"/>
        <w:spacing w:after="240"/>
      </w:pPr>
      <w:r>
        <w:rPr>
          <w:b/>
          <w:bCs/>
          <w:color w:val="1B3A4B"/>
          <w:sz w:val="40"/>
          <w:szCs w:val="40"/>
        </w:rPr>
        <w:t xml:space="preserve">Denver Once Had a System</w:t>
      </w:r>
    </w:p>
    <w:p>
      <w:pPr>
        <w:pStyle w:val="Heading3"/>
        <w:spacing w:after="80" w:before="200"/>
      </w:pPr>
      <w:r>
        <w:rPr>
          <w:b/>
          <w:bCs/>
          <w:color w:val="B2542C"/>
          <w:sz w:val="24"/>
          <w:szCs w:val="24"/>
        </w:rPr>
        <w:t xml:space="preserve">On-Screen</w:t>
      </w:r>
    </w:p>
    <w:p>
      <w:pPr>
        <w:pStyle w:val="Heading4"/>
        <w:spacing w:after="60" w:before="160"/>
      </w:pPr>
      <w:r>
        <w:rPr>
          <w:b/>
          <w:bCs/>
          <w:color w:val="1B3A4B"/>
          <w:sz w:val="22"/>
          <w:szCs w:val="22"/>
        </w:rPr>
        <w:t xml:space="preserve">Slide 1 — A different starting point</w:t>
      </w:r>
    </w:p>
    <w:p>
      <w:pPr>
        <w:pBdr>
          <w:left w:val="single" w:color="2D6A4F" w:sz="12" w:space="8"/>
        </w:pBdr>
        <w:spacing w:after="120"/>
        <w:ind w:left="360"/>
      </w:pPr>
      <w:r>
        <w:rPr>
          <w:b/>
          <w:bCs/>
          <w:color w:val="2D6A4F"/>
          <w:sz w:val="18"/>
          <w:szCs w:val="18"/>
        </w:rPr>
        <w:t xml:space="preserve">PASTE  </w:t>
      </w:r>
      <w:r>
        <w:rPr>
          <w:sz w:val="22"/>
          <w:szCs w:val="22"/>
        </w:rPr>
        <w:t xml:space="preserve">Denver did not always have this problem.</w:t>
      </w:r>
    </w:p>
    <w:p>
      <w:pPr>
        <w:pBdr>
          <w:left w:val="single" w:color="2D6A4F" w:sz="12" w:space="8"/>
        </w:pBdr>
        <w:spacing w:after="120"/>
        <w:ind w:left="360"/>
      </w:pPr>
      <w:r>
        <w:rPr>
          <w:b/>
          <w:bCs/>
          <w:color w:val="2D6A4F"/>
          <w:sz w:val="18"/>
          <w:szCs w:val="18"/>
        </w:rPr>
        <w:t xml:space="preserve">PASTE  </w:t>
      </w:r>
      <w:r>
        <w:rPr>
          <w:sz w:val="22"/>
          <w:szCs w:val="22"/>
        </w:rPr>
        <w:t xml:space="preserve">When the city published its first municipal code in 1881, sidewalks were treated as coordinated public infrastructure. An official sidewalk contractor was selected by competitive bid. A City Engineer inspected and certified completed work.</w:t>
      </w:r>
    </w:p>
    <w:p>
      <w:pPr>
        <w:pBdr>
          <w:left w:val="single" w:color="2D6A4F" w:sz="12" w:space="8"/>
        </w:pBdr>
        <w:spacing w:after="120"/>
        <w:ind w:left="360"/>
      </w:pPr>
      <w:r>
        <w:rPr>
          <w:b/>
          <w:bCs/>
          <w:color w:val="2D6A4F"/>
          <w:sz w:val="18"/>
          <w:szCs w:val="18"/>
        </w:rPr>
        <w:t xml:space="preserve">PASTE  </w:t>
      </w:r>
      <w:r>
        <w:rPr>
          <w:sz w:val="22"/>
          <w:szCs w:val="22"/>
        </w:rPr>
        <w:t xml:space="preserve">Enforcement had teeth. If a property was cited and a sidewalk wasn't built within sixty days, the city built it and collected the cost the way it collected any other tax — a lien on the property.</w:t>
      </w:r>
    </w:p>
    <w:p>
      <w:pPr>
        <w:pStyle w:val="Heading4"/>
        <w:spacing w:after="60" w:before="160"/>
      </w:pPr>
      <w:r>
        <w:rPr>
          <w:b/>
          <w:bCs/>
          <w:color w:val="1B3A4B"/>
          <w:sz w:val="22"/>
          <w:szCs w:val="22"/>
        </w:rPr>
        <w:t xml:space="preserve">Slide 2 — Sidewalk Districts</w:t>
      </w:r>
    </w:p>
    <w:p>
      <w:pPr>
        <w:pBdr>
          <w:left w:val="single" w:color="2D6A4F" w:sz="12" w:space="8"/>
        </w:pBdr>
        <w:spacing w:after="120"/>
        <w:ind w:left="360"/>
      </w:pPr>
      <w:r>
        <w:rPr>
          <w:b/>
          <w:bCs/>
          <w:color w:val="2D6A4F"/>
          <w:sz w:val="18"/>
          <w:szCs w:val="18"/>
        </w:rPr>
        <w:t xml:space="preserve">PASTE  </w:t>
      </w:r>
      <w:r>
        <w:rPr>
          <w:sz w:val="22"/>
          <w:szCs w:val="22"/>
        </w:rPr>
        <w:t xml:space="preserve">The mechanism that made the early system work was the Sidewalk District. The city was divided into geographic units. All properties in a district paid a coordinated assessment. The city built and the city repaired.</w:t>
      </w:r>
    </w:p>
    <w:p>
      <w:pPr>
        <w:pBdr>
          <w:left w:val="single" w:color="2D6A4F" w:sz="12" w:space="8"/>
        </w:pBdr>
        <w:spacing w:after="120"/>
        <w:ind w:left="360"/>
      </w:pPr>
      <w:r>
        <w:rPr>
          <w:b/>
          <w:bCs/>
          <w:color w:val="2D6A4F"/>
          <w:sz w:val="18"/>
          <w:szCs w:val="18"/>
        </w:rPr>
        <w:t xml:space="preserve">PASTE  </w:t>
      </w:r>
      <w:r>
        <w:rPr>
          <w:sz w:val="22"/>
          <w:szCs w:val="22"/>
        </w:rPr>
        <w:t xml:space="preserve">Outside of a designated district, a majority of property owners on a block could petition the city to build sidewalks on their block. Construction costs were collected via property tax lien.</w:t>
      </w:r>
    </w:p>
    <w:p>
      <w:pPr>
        <w:pBdr>
          <w:left w:val="single" w:color="2D6A4F" w:sz="12" w:space="8"/>
        </w:pBdr>
        <w:spacing w:after="120"/>
        <w:ind w:left="360"/>
      </w:pPr>
      <w:r>
        <w:rPr>
          <w:b/>
          <w:bCs/>
          <w:color w:val="2D6A4F"/>
          <w:sz w:val="18"/>
          <w:szCs w:val="18"/>
        </w:rPr>
        <w:t xml:space="preserve">PASTE  </w:t>
      </w:r>
      <w:r>
        <w:rPr>
          <w:sz w:val="22"/>
          <w:szCs w:val="22"/>
        </w:rPr>
        <w:t xml:space="preserve">Neighbors did not pay one at a time. They paid together, and the city built together.</w:t>
      </w:r>
    </w:p>
    <w:p>
      <w:pPr>
        <w:pStyle w:val="Heading4"/>
        <w:spacing w:after="60" w:before="160"/>
      </w:pPr>
      <w:r>
        <w:rPr>
          <w:b/>
          <w:bCs/>
          <w:color w:val="1B3A4B"/>
          <w:sz w:val="22"/>
          <w:szCs w:val="22"/>
        </w:rPr>
        <w:t xml:space="preserve">Slide 3 — Standards and the structure that worked</w:t>
      </w:r>
    </w:p>
    <w:p>
      <w:pPr>
        <w:pBdr>
          <w:left w:val="single" w:color="2D6A4F" w:sz="12" w:space="8"/>
        </w:pBdr>
        <w:spacing w:after="120"/>
        <w:ind w:left="360"/>
      </w:pPr>
      <w:r>
        <w:rPr>
          <w:b/>
          <w:bCs/>
          <w:color w:val="2D6A4F"/>
          <w:sz w:val="18"/>
          <w:szCs w:val="18"/>
        </w:rPr>
        <w:t xml:space="preserve">PASTE  </w:t>
      </w:r>
      <w:r>
        <w:rPr>
          <w:sz w:val="22"/>
          <w:szCs w:val="22"/>
        </w:rPr>
        <w:t xml:space="preserve">Width standards in the 1881 code: twelve feet of uninterrupted sidewalk in front of commercial properties, five feet in front of residential and vacant lots. Materials were flagstone or cement in the downtown core; high-quality wood planks were permitted outside it.</w:t>
      </w:r>
    </w:p>
    <w:p>
      <w:pPr>
        <w:pBdr>
          <w:left w:val="single" w:color="2D6A4F" w:sz="12" w:space="8"/>
        </w:pBdr>
        <w:spacing w:after="120"/>
        <w:ind w:left="360"/>
      </w:pPr>
      <w:r>
        <w:rPr>
          <w:b/>
          <w:bCs/>
          <w:color w:val="2D6A4F"/>
          <w:sz w:val="18"/>
          <w:szCs w:val="18"/>
        </w:rPr>
        <w:t xml:space="preserve">PASTE  </w:t>
      </w:r>
      <w:r>
        <w:rPr>
          <w:sz w:val="22"/>
          <w:szCs w:val="22"/>
        </w:rPr>
        <w:t xml:space="preserve">By modern standards, the residential figure is below today's ADA-influenced practice — but the structure of the regulation itself was sound. Geographic assessment, public construction, lien-backed enforcement: the same elements Denver eventually rebuilt in 2022 under a different name.</w:t>
      </w:r>
    </w:p>
    <w:p>
      <w:pPr>
        <w:pStyle w:val="Heading3"/>
        <w:spacing w:after="80" w:before="200"/>
      </w:pPr>
      <w:r>
        <w:rPr>
          <w:b/>
          <w:bCs/>
          <w:color w:val="B2542C"/>
          <w:sz w:val="24"/>
          <w:szCs w:val="24"/>
        </w:rPr>
        <w:t xml:space="preserve">Visuals</w:t>
      </w:r>
    </w:p>
    <w:p>
      <w:pPr>
        <w:pStyle w:val="ListParagraph"/>
        <w:numPr>
          <w:ilvl w:val="0"/>
          <w:numId w:val="2"/>
        </w:numPr>
        <w:spacing w:after="60"/>
      </w:pPr>
      <w:r>
        <w:rPr>
          <w:sz w:val="22"/>
          <w:szCs w:val="22"/>
        </w:rPr>
        <w:t xml:space="preserve">Slide 1: scan from the 1881 charter showing the sidewalk ordinance. Highlight the 60-day clause.</w:t>
      </w:r>
    </w:p>
    <w:p>
      <w:pPr>
        <w:pStyle w:val="ListParagraph"/>
        <w:numPr>
          <w:ilvl w:val="0"/>
          <w:numId w:val="2"/>
        </w:numPr>
        <w:spacing w:after="60"/>
      </w:pPr>
      <w:r>
        <w:rPr>
          <w:sz w:val="22"/>
          <w:szCs w:val="22"/>
        </w:rPr>
        <w:t xml:space="preserve">Slide 2: an 1880s map of Denver. If Sidewalk District boundaries are recoverable, overlay them; if not, show the streetcar-era city extent and label honestly.</w:t>
      </w:r>
    </w:p>
    <w:p>
      <w:pPr>
        <w:pStyle w:val="ListParagraph"/>
        <w:numPr>
          <w:ilvl w:val="0"/>
          <w:numId w:val="2"/>
        </w:numPr>
        <w:spacing w:after="60"/>
      </w:pPr>
      <w:r>
        <w:rPr>
          <w:sz w:val="22"/>
          <w:szCs w:val="22"/>
        </w:rPr>
        <w:t xml:space="preserve">Slide 3: the historical photograph of the man on the wood-plank sidewalk. Pair with a small inset diagram showing 12ft / 5ft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 SECTION 6</w:t>
            </w:r>
          </w:p>
          <w:p>
            <w:pPr>
              <w:spacing w:after="40"/>
            </w:pPr>
            <w:r>
              <w:rPr>
                <w:color w:val="5C5C5C"/>
                <w:sz w:val="20"/>
                <w:szCs w:val="20"/>
              </w:rPr>
              <w:t xml:space="preserve">Block: Sidecar. 3 slides.</w:t>
            </w:r>
          </w:p>
          <w:p>
            <w:pPr>
              <w:spacing w:after="40"/>
            </w:pPr>
            <w:r>
              <w:rPr>
                <w:color w:val="5C5C5C"/>
                <w:sz w:val="20"/>
                <w:szCs w:val="20"/>
              </w:rPr>
              <w:t xml:space="preserve">Charter scan (slide 1): from 1881_Denver_Charter.pdf in project files. Crop tightly,</w:t>
            </w:r>
          </w:p>
          <w:p>
            <w:pPr>
              <w:spacing w:after="40"/>
            </w:pPr>
            <w:r>
              <w:rPr>
                <w:color w:val="5C5C5C"/>
                <w:sz w:val="20"/>
                <w:szCs w:val="20"/>
              </w:rPr>
              <w:t xml:space="preserve">  pre-bake highlights in Photoshop. Cite page number in caption.</w:t>
            </w:r>
          </w:p>
          <w:p>
            <w:pPr>
              <w:spacing w:after="40"/>
            </w:pPr>
            <w:r>
              <w:rPr>
                <w:color w:val="5C5C5C"/>
                <w:sz w:val="20"/>
                <w:szCs w:val="20"/>
              </w:rPr>
              <w:t xml:space="preserve">Slide 2 map: georeference the 1880s map against modern Denver in ArcGIS Pro,</w:t>
            </w:r>
          </w:p>
          <w:p>
            <w:pPr>
              <w:spacing w:after="40"/>
            </w:pPr>
            <w:r>
              <w:rPr>
                <w:color w:val="5C5C5C"/>
                <w:sz w:val="20"/>
                <w:szCs w:val="20"/>
              </w:rPr>
              <w:t xml:space="preserve">  publish as a tile layer. This becomes the 'before' for Section 7's swipe.</w:t>
            </w:r>
          </w:p>
          <w:p>
            <w:pPr>
              <w:spacing w:after="40"/>
            </w:pPr>
            <w:r>
              <w:rPr>
                <w:color w:val="5C5C5C"/>
                <w:sz w:val="20"/>
                <w:szCs w:val="20"/>
              </w:rPr>
              <w:t xml:space="preserve">If district boundaries are unrecoverable: methods footnote at slide bottom.</w:t>
            </w:r>
          </w:p>
        </w:tc>
      </w:tr>
    </w:tbl>
    <w:p>
      <w:pPr>
        <w:pBdr>
          <w:top w:val="single" w:color="1B3A4B" w:sz="16" w:space="8"/>
        </w:pBdr>
        <w:spacing w:after="120" w:before="240"/>
      </w:pPr>
      <w:r>
        <w:t xml:space="preserve"/>
      </w:r>
    </w:p>
    <w:p>
      <w:pPr>
        <w:spacing w:after="60"/>
      </w:pPr>
      <w:r>
        <w:rPr>
          <w:b/>
          <w:bCs/>
          <w:color w:val="B2542C"/>
          <w:sz w:val="22"/>
          <w:szCs w:val="22"/>
        </w:rPr>
        <w:t xml:space="preserve">SECTION 7  </w:t>
      </w:r>
      <w:r>
        <w:rPr>
          <w:color w:val="5C5C5C"/>
          <w:sz w:val="20"/>
          <w:szCs w:val="20"/>
        </w:rPr>
        <w:t xml:space="preserve">· Swipe Block — historical vs. modern footprint  ·  </w:t>
      </w:r>
      <w:r>
        <w:rPr>
          <w:i/>
          <w:iCs/>
          <w:color w:val="1B3A4B"/>
          <w:sz w:val="20"/>
          <w:szCs w:val="20"/>
        </w:rPr>
        <w:t xml:space="preserve">The structural break that produced the modern map.</w:t>
      </w:r>
    </w:p>
    <w:p>
      <w:pPr>
        <w:pStyle w:val="Heading1"/>
        <w:spacing w:after="240"/>
      </w:pPr>
      <w:r>
        <w:rPr>
          <w:b/>
          <w:bCs/>
          <w:color w:val="1B3A4B"/>
          <w:sz w:val="40"/>
          <w:szCs w:val="40"/>
        </w:rPr>
        <w:t xml:space="preserve">How Denver Lost It</w:t>
      </w:r>
    </w:p>
    <w:p>
      <w:pPr>
        <w:pStyle w:val="Heading3"/>
        <w:spacing w:after="80" w:before="200"/>
      </w:pPr>
      <w:r>
        <w:rPr>
          <w:b/>
          <w:bCs/>
          <w:color w:val="B2542C"/>
          <w:sz w:val="24"/>
          <w:szCs w:val="24"/>
        </w:rPr>
        <w:t xml:space="preserve">On-Screen — lead-in</w:t>
      </w:r>
    </w:p>
    <w:p>
      <w:pPr>
        <w:pBdr>
          <w:left w:val="single" w:color="2D6A4F" w:sz="12" w:space="8"/>
        </w:pBdr>
        <w:spacing w:after="120"/>
        <w:ind w:left="360"/>
      </w:pPr>
      <w:r>
        <w:rPr>
          <w:b/>
          <w:bCs/>
          <w:color w:val="2D6A4F"/>
          <w:sz w:val="18"/>
          <w:szCs w:val="18"/>
        </w:rPr>
        <w:t xml:space="preserve">PASTE  </w:t>
      </w:r>
      <w:r>
        <w:rPr>
          <w:sz w:val="22"/>
          <w:szCs w:val="22"/>
        </w:rPr>
        <w:t xml:space="preserve">What undid the system wasn't neglect. It was growth.</w:t>
      </w:r>
    </w:p>
    <w:p>
      <w:pPr>
        <w:pBdr>
          <w:left w:val="single" w:color="2D6A4F" w:sz="12" w:space="8"/>
        </w:pBdr>
        <w:spacing w:after="120"/>
        <w:ind w:left="360"/>
      </w:pPr>
      <w:r>
        <w:rPr>
          <w:b/>
          <w:bCs/>
          <w:color w:val="2D6A4F"/>
          <w:sz w:val="18"/>
          <w:szCs w:val="18"/>
        </w:rPr>
        <w:t xml:space="preserve">PASTE  </w:t>
      </w:r>
      <w:r>
        <w:rPr>
          <w:sz w:val="22"/>
          <w:szCs w:val="22"/>
        </w:rPr>
        <w:t xml:space="preserve">As Denver expanded outward in the postwar boom, Sidewalk Districts were phased out. The shared assessment model gave way to individual property-owner responsibility. New subdivisions were platted with narrow attached sidewalks — or no sidewalks at all.</w:t>
      </w:r>
    </w:p>
    <w:p>
      <w:pPr>
        <w:pBdr>
          <w:left w:val="single" w:color="2D6A4F" w:sz="12" w:space="8"/>
        </w:pBdr>
        <w:spacing w:after="120"/>
        <w:ind w:left="360"/>
      </w:pPr>
      <w:r>
        <w:rPr>
          <w:b/>
          <w:bCs/>
          <w:color w:val="2D6A4F"/>
          <w:sz w:val="18"/>
          <w:szCs w:val="18"/>
        </w:rPr>
        <w:t xml:space="preserve">PASTE  </w:t>
      </w:r>
      <w:r>
        <w:rPr>
          <w:sz w:val="22"/>
          <w:szCs w:val="22"/>
        </w:rPr>
        <w:t xml:space="preserve">Nobody required sidewalks in new developments. Nobody funded gaps in the existing network. The institutional machinery that had once enforced both was dismantled to make way for the age of the automobile.</w:t>
      </w:r>
    </w:p>
    <w:p>
      <w:pPr>
        <w:pStyle w:val="Heading3"/>
        <w:spacing w:after="80" w:before="200"/>
      </w:pPr>
      <w:r>
        <w:rPr>
          <w:b/>
          <w:bCs/>
          <w:color w:val="B2542C"/>
          <w:sz w:val="24"/>
          <w:szCs w:val="24"/>
        </w:rPr>
        <w:t xml:space="preserve">On-Screen — lead-out</w:t>
      </w:r>
    </w:p>
    <w:p>
      <w:pPr>
        <w:pBdr>
          <w:left w:val="single" w:color="2D6A4F" w:sz="12" w:space="8"/>
        </w:pBdr>
        <w:spacing w:after="120"/>
        <w:ind w:left="360"/>
      </w:pPr>
      <w:r>
        <w:rPr>
          <w:b/>
          <w:bCs/>
          <w:color w:val="2D6A4F"/>
          <w:sz w:val="18"/>
          <w:szCs w:val="18"/>
        </w:rPr>
        <w:t xml:space="preserve">PASTE  </w:t>
      </w:r>
      <w:r>
        <w:rPr>
          <w:sz w:val="22"/>
          <w:szCs w:val="22"/>
        </w:rPr>
        <w:t xml:space="preserve">The 1880s footprint sits inside a postwar city that grew far past it without bringing the system along.</w:t>
      </w:r>
    </w:p>
    <w:p>
      <w:pPr>
        <w:pBdr>
          <w:left w:val="single" w:color="2D6A4F" w:sz="12" w:space="8"/>
        </w:pBdr>
        <w:spacing w:after="120"/>
        <w:ind w:left="360"/>
      </w:pPr>
      <w:r>
        <w:rPr>
          <w:b/>
          <w:bCs/>
          <w:color w:val="2D6A4F"/>
          <w:sz w:val="18"/>
          <w:szCs w:val="18"/>
        </w:rPr>
        <w:t xml:space="preserve">PASTE  </w:t>
      </w:r>
      <w:r>
        <w:rPr>
          <w:sz w:val="22"/>
          <w:szCs w:val="22"/>
        </w:rPr>
        <w:t xml:space="preserve">This pattern is not unique to Denver. Minneapolis kept a district structure and largely kept its network. Seattle absorbed massive northern annexations after 1953 that had been built under county standards without sidewalks at all. Most mid-sized American cities followed Denver's path: a walkable urban core surrounded by decades of car-oriented growth that the sidewalk model never adapted to handle.</w:t>
      </w:r>
    </w:p>
    <w:p>
      <w:pPr>
        <w:pStyle w:val="Heading3"/>
        <w:spacing w:after="80" w:before="200"/>
      </w:pPr>
      <w:r>
        <w:rPr>
          <w:b/>
          <w:bCs/>
          <w:color w:val="B2542C"/>
          <w:sz w:val="24"/>
          <w:szCs w:val="24"/>
        </w:rPr>
        <w:t xml:space="preserve">Visual</w:t>
      </w:r>
    </w:p>
    <w:p>
      <w:pPr>
        <w:pStyle w:val="ListParagraph"/>
        <w:numPr>
          <w:ilvl w:val="0"/>
          <w:numId w:val="2"/>
        </w:numPr>
        <w:spacing w:after="60"/>
      </w:pPr>
      <w:r>
        <w:rPr>
          <w:sz w:val="22"/>
          <w:szCs w:val="22"/>
        </w:rPr>
        <w:t xml:space="preserve">Swipe LEFT: 1880s Denver — sidewalk network as continuous coverage within historic city extent.</w:t>
      </w:r>
    </w:p>
    <w:p>
      <w:pPr>
        <w:pStyle w:val="ListParagraph"/>
        <w:numPr>
          <w:ilvl w:val="0"/>
          <w:numId w:val="2"/>
        </w:numPr>
        <w:spacing w:after="60"/>
      </w:pPr>
      <w:r>
        <w:rPr>
          <w:sz w:val="22"/>
          <w:szCs w:val="22"/>
        </w:rPr>
        <w:t xml:space="preserve">Swipe RIGHT: 2025 Denver — sidewalk network classified by status. Postwar suburbs visibly drop out of the network.</w:t>
      </w:r>
    </w:p>
    <w:p>
      <w:pPr>
        <w:pStyle w:val="ListParagraph"/>
        <w:numPr>
          <w:ilvl w:val="0"/>
          <w:numId w:val="2"/>
        </w:numPr>
        <w:spacing w:after="60"/>
      </w:pPr>
      <w:r>
        <w:rPr>
          <w:sz w:val="22"/>
          <w:szCs w:val="22"/>
        </w:rPr>
        <w:t xml:space="preserve">Both maps locked to identical extent, scale,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 SECTION 7</w:t>
            </w:r>
          </w:p>
          <w:p>
            <w:pPr>
              <w:spacing w:after="40"/>
            </w:pPr>
            <w:r>
              <w:rPr>
                <w:color w:val="5C5C5C"/>
                <w:sz w:val="20"/>
                <w:szCs w:val="20"/>
              </w:rPr>
              <w:t xml:space="preserve">Block: Swipe. Both halves are web maps from ArcGIS Online.</w:t>
            </w:r>
          </w:p>
          <w:p>
            <w:pPr>
              <w:spacing w:after="40"/>
            </w:pPr>
            <w:r>
              <w:rPr>
                <w:color w:val="5C5C5C"/>
                <w:sz w:val="20"/>
                <w:szCs w:val="20"/>
              </w:rPr>
              <w:t xml:space="preserve">  LEFT: Denver_1880s_Sidewalks_Reconstructed.</w:t>
            </w:r>
          </w:p>
          <w:p>
            <w:pPr>
              <w:spacing w:after="40"/>
            </w:pPr>
            <w:r>
              <w:rPr>
                <w:color w:val="5C5C5C"/>
                <w:sz w:val="20"/>
                <w:szCs w:val="20"/>
              </w:rPr>
              <w:t xml:space="preserve">  RIGHT: Denver_Sidewalk_Network_Status_2025.</w:t>
            </w:r>
          </w:p>
          <w:p>
            <w:pPr>
              <w:spacing w:after="40"/>
            </w:pPr>
            <w:r>
              <w:rPr>
                <w:color w:val="5C5C5C"/>
                <w:sz w:val="20"/>
                <w:szCs w:val="20"/>
              </w:rPr>
              <w:t xml:space="preserve">CRITICAL: lock both maps to identical extents. Most common Story Map bug.</w:t>
            </w:r>
          </w:p>
          <w:p>
            <w:pPr>
              <w:spacing w:after="40"/>
            </w:pPr>
            <w:r>
              <w:rPr>
                <w:color w:val="5C5C5C"/>
                <w:sz w:val="20"/>
                <w:szCs w:val="20"/>
              </w:rPr>
              <w:t xml:space="preserve">Caption above the swipe: 'Drag the slider — 1880 left, 2025 right.'</w:t>
            </w:r>
          </w:p>
        </w:tc>
      </w:tr>
    </w:tbl>
    <w:p>
      <w:pPr>
        <w:pBdr>
          <w:top w:val="single" w:color="1B3A4B" w:sz="16" w:space="8"/>
        </w:pBdr>
        <w:spacing w:after="120" w:before="240"/>
      </w:pPr>
      <w:r>
        <w:t xml:space="preserve"/>
      </w:r>
    </w:p>
    <w:p>
      <w:pPr>
        <w:spacing w:after="60"/>
      </w:pPr>
      <w:r>
        <w:rPr>
          <w:b/>
          <w:bCs/>
          <w:color w:val="B2542C"/>
          <w:sz w:val="22"/>
          <w:szCs w:val="22"/>
        </w:rPr>
        <w:t xml:space="preserve">SECTION 8  </w:t>
      </w:r>
      <w:r>
        <w:rPr>
          <w:color w:val="5C5C5C"/>
          <w:sz w:val="20"/>
          <w:szCs w:val="20"/>
        </w:rPr>
        <w:t xml:space="preserve">· Timeline Block  ·  </w:t>
      </w:r>
      <w:r>
        <w:rPr>
          <w:i/>
          <w:iCs/>
          <w:color w:val="1B3A4B"/>
          <w:sz w:val="20"/>
          <w:szCs w:val="20"/>
        </w:rPr>
        <w:t xml:space="preserve">Show the full cycle of failed and successful reform attempts.</w:t>
      </w:r>
    </w:p>
    <w:p>
      <w:pPr>
        <w:pStyle w:val="Heading1"/>
        <w:spacing w:after="240"/>
      </w:pPr>
      <w:r>
        <w:rPr>
          <w:b/>
          <w:bCs/>
          <w:color w:val="1B3A4B"/>
          <w:sz w:val="40"/>
          <w:szCs w:val="40"/>
        </w:rPr>
        <w:t xml:space="preserve">The 20-Year Reform Arc</w:t>
      </w:r>
    </w:p>
    <w:p>
      <w:pPr>
        <w:pStyle w:val="Heading3"/>
        <w:spacing w:after="80" w:before="200"/>
      </w:pPr>
      <w:r>
        <w:rPr>
          <w:b/>
          <w:bCs/>
          <w:color w:val="B2542C"/>
          <w:sz w:val="24"/>
          <w:szCs w:val="24"/>
        </w:rPr>
        <w:t xml:space="preserve">On-Screen — lead-in</w:t>
      </w:r>
    </w:p>
    <w:p>
      <w:pPr>
        <w:pBdr>
          <w:left w:val="single" w:color="2D6A4F" w:sz="12" w:space="8"/>
        </w:pBdr>
        <w:spacing w:after="120"/>
        <w:ind w:left="360"/>
      </w:pPr>
      <w:r>
        <w:rPr>
          <w:b/>
          <w:bCs/>
          <w:color w:val="2D6A4F"/>
          <w:sz w:val="18"/>
          <w:szCs w:val="18"/>
        </w:rPr>
        <w:t xml:space="preserve">PASTE  </w:t>
      </w:r>
      <w:r>
        <w:rPr>
          <w:sz w:val="22"/>
          <w:szCs w:val="22"/>
        </w:rPr>
        <w:t xml:space="preserve">From the moment Denver named the billion-dollar problem to the moment it acted, eight years passed. From the first failed enforcement bill to the ballot initiative that finally worked, four decades.</w:t>
      </w:r>
    </w:p>
    <w:p>
      <w:pPr>
        <w:pBdr>
          <w:left w:val="single" w:color="2D6A4F" w:sz="12" w:space="8"/>
        </w:pBdr>
        <w:spacing w:after="120"/>
        <w:ind w:left="360"/>
      </w:pPr>
      <w:r>
        <w:rPr>
          <w:b/>
          <w:bCs/>
          <w:color w:val="2D6A4F"/>
          <w:sz w:val="18"/>
          <w:szCs w:val="18"/>
        </w:rPr>
        <w:t xml:space="preserve">PASTE  </w:t>
      </w:r>
      <w:r>
        <w:rPr>
          <w:sz w:val="22"/>
          <w:szCs w:val="22"/>
        </w:rPr>
        <w:t xml:space="preserve">This timeline shows what each attempt tried, why each fell short, and why the one that finally worked came from outside city hall.</w:t>
      </w:r>
    </w:p>
    <w:p>
      <w:pPr>
        <w:pStyle w:val="Heading3"/>
        <w:spacing w:after="80" w:before="200"/>
      </w:pPr>
      <w:r>
        <w:rPr>
          <w:b/>
          <w:bCs/>
          <w:color w:val="B2542C"/>
          <w:sz w:val="24"/>
          <w:szCs w:val="24"/>
        </w:rPr>
        <w:t xml:space="preserve">Timeline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160"/>
        <w:gridCol w:w="3960"/>
        <w:gridCol w:w="1620"/>
      </w:tblGrid>
      <w:tr>
        <w:trPr>
          <w:tblHeader/>
        </w:trPr>
        <w:tc>
          <w:tcPr>
            <w:tcW w:type="dxa" w:w="162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Date</w:t>
            </w:r>
          </w:p>
        </w:tc>
        <w:tc>
          <w:tcPr>
            <w:tcW w:type="dxa" w:w="216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Headline</w:t>
            </w:r>
          </w:p>
        </w:tc>
        <w:tc>
          <w:tcPr>
            <w:tcW w:type="dxa" w:w="396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Body (paste-ready)</w:t>
            </w:r>
          </w:p>
        </w:tc>
        <w:tc>
          <w:tcPr>
            <w:tcW w:type="dxa" w:w="162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Image</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1881</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Denver's First Charter</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The city establishes Sidewalk Districts: an official contractor, City Engineer inspection, and a 60-day cite-and-lien enforcement mechanism. Hundreds of miles of sidewalk are built under this system over the following decades.</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1881 charter scan</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Postwar (1945–60s)</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Sidewalk Districts phased out</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As Denver grows outward, the shared-assessment model is dismantled. Responsibility shifts entirely to individual property owners. New subdivisions built without sidewalks.</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1950s subdivision photo</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1984</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First 'Sidewalk Bill'</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City Council introduces a bill giving property owners 'breathing room' on repair timelines. Acknowledges the burden but does not redistribute it.</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council minutes / news clipping</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1988</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Council seeks a rewrite</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After years of failed enforcement, a Council panel asks for a complete rewrite of the repair measure. The city effectively walks away from active management.</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news clipping</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2002</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Right-of-Way Sidewalk Initiative</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City staff propose a fee of $6.60 per square foot and an annual maintenance charge of approximately 20 cents per square foot. The proposal is never adopted.</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scan of 2002 proposal</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2015</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Rethinking Denver Sidewalk Policy</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WalkDenver and Mile High Connects publish: 47% of streets in low-income areas lack adequate sidewalks. Denver's 2002 fee proposal is recirculated.</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brief cover (in project files)</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2016</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Council declines reform</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City Council reviews peer programs in 8 cities. After consulting the City Attorney's Office, concludes responsibility should remain with property owners 'to protect the city from liability.' The clearest pre-307 chance to act, declined.</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council document</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2017</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Denver Moves: Pedestrians</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City plan identifies a $1.1 billion gap to complete the network.</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plan cover</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Nov 2017</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Elevate Denver Bond</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Voters approve $47.7M for sidewalks — meaningful, but a fraction of the identified $1.1B need.</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ballot or news photo</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2017–20</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Neighborhood Sidewalk Repair Program</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City launches a proactive inspection-and-bill program. After 1,100 inspections over three years, the pace projects to 400 years for citywide coverage.</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DOTI program webpage / audit cover</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Nov 2020</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Auditor's Report</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City Auditor labels the program 'flawed' — inefficient, inconsistent, placing undue burden on residents.</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audit cover (in project files)</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2022</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Denver Deserves Sidewalks</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Advocates collect ~20,000 signatures to put a new model on the ballot, bypassing City Council.</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campaign photo</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Nov 2022</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Initiative 307 Passes</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Voters approve a citywide annual fee that funds construction and repair through the city. Property-owner liability ends.</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ballot or election photo</w:t>
            </w:r>
          </w:p>
        </w:tc>
      </w:tr>
      <w:tr>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Jan 2025</w:t>
            </w:r>
          </w:p>
        </w:tc>
        <w:tc>
          <w:tcPr>
            <w:tcW w:type="dxa" w:w="21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18"/>
                <w:szCs w:val="18"/>
              </w:rPr>
              <w:t xml:space="preserve">Fees Begin / SIP Launches</w:t>
            </w:r>
          </w:p>
        </w:tc>
        <w:tc>
          <w:tcPr>
            <w:tcW w:type="dxa" w:w="39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The city begins fee collection. The Sidewalk Improvement Program launches a 9-year master plan to build and repair a complete, ADA-compliant network.</w:t>
            </w:r>
          </w:p>
        </w:tc>
        <w:tc>
          <w:tcPr>
            <w:tcW w:type="dxa" w:w="16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18"/>
                <w:szCs w:val="18"/>
              </w:rPr>
              <w:t xml:space="preserve">first SIP construction photo</w:t>
            </w:r>
          </w:p>
        </w:tc>
      </w:tr>
    </w:tbl>
    <w:p>
      <w:pPr>
        <w:spacing w:after="120"/>
      </w:pPr>
      <w:r>
        <w:t xml:space="preserve"/>
      </w:r>
    </w:p>
    <w:p>
      <w:pPr>
        <w:spacing w:after="100"/>
        <w:ind w:left="360"/>
      </w:pPr>
      <w:r>
        <w:rPr>
          <w:b/>
          <w:bCs/>
          <w:color w:val="8B0000"/>
          <w:sz w:val="18"/>
          <w:szCs w:val="18"/>
        </w:rPr>
        <w:t xml:space="preserve">⚠ VERIFY:  </w:t>
      </w:r>
      <w:r>
        <w:rPr>
          <w:color w:val="8B0000"/>
          <w:sz w:val="18"/>
          <w:szCs w:val="18"/>
        </w:rPr>
        <w:t xml:space="preserve">400-year completion estimate (used here per capstone Section 5.2.1)</w:t>
      </w:r>
      <w:r>
        <w:rPr>
          <w:i/>
          <w:iCs/>
          <w:color w:val="5C5C5C"/>
          <w:sz w:val="18"/>
          <w:szCs w:val="18"/>
        </w:rPr>
        <w:t xml:space="preserve">  [Source: Capstone Section 5.2.1 ('the pace was so slow that estimates projected 400 years to cover the city'). Note: the 2020 Auditor's separate '50+ year' figure exists; the capstone uses the 400-year framing for the failed pre-307 program.]</w:t>
      </w:r>
    </w:p>
    <w:p>
      <w:pPr>
        <w:pStyle w:val="Heading3"/>
        <w:spacing w:after="80" w:before="200"/>
      </w:pPr>
      <w:r>
        <w:rPr>
          <w:b/>
          <w:bCs/>
          <w:color w:val="B2542C"/>
          <w:sz w:val="24"/>
          <w:szCs w:val="24"/>
        </w:rPr>
        <w:t xml:space="preserve">On-Screen — lead-out</w:t>
      </w:r>
    </w:p>
    <w:p>
      <w:pPr>
        <w:pBdr>
          <w:left w:val="single" w:color="2D6A4F" w:sz="12" w:space="8"/>
        </w:pBdr>
        <w:spacing w:after="120"/>
        <w:ind w:left="360"/>
      </w:pPr>
      <w:r>
        <w:rPr>
          <w:b/>
          <w:bCs/>
          <w:color w:val="2D6A4F"/>
          <w:sz w:val="18"/>
          <w:szCs w:val="18"/>
        </w:rPr>
        <w:t xml:space="preserve">PASTE  </w:t>
      </w:r>
      <w:r>
        <w:rPr>
          <w:sz w:val="22"/>
          <w:szCs w:val="22"/>
        </w:rPr>
        <w:t xml:space="preserve">Eight years between identifying the billion-dollar gap and passing reform. Three years between launching the proactive program and admitting it had stalled. The lesson is not that reform is hard. The lesson is that reform that doesn't change the funding model can't outrun the model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 SECTION 8</w:t>
            </w:r>
          </w:p>
          <w:p>
            <w:pPr>
              <w:spacing w:after="40"/>
            </w:pPr>
            <w:r>
              <w:rPr>
                <w:color w:val="5C5C5C"/>
                <w:sz w:val="20"/>
                <w:szCs w:val="20"/>
              </w:rPr>
              <w:t xml:space="preserve">Block: Timeline (vertical). Native Story Maps Timeline supports date, headline, body, one image per entry.</w:t>
            </w:r>
          </w:p>
          <w:p>
            <w:pPr>
              <w:spacing w:after="40"/>
            </w:pPr>
            <w:r>
              <w:rPr>
                <w:color w:val="5C5C5C"/>
                <w:sz w:val="20"/>
                <w:szCs w:val="20"/>
              </w:rPr>
              <w:t xml:space="preserve">Source images per the rightmost column. The 2015 brief and 2020 audit covers are already in project files.</w:t>
            </w:r>
          </w:p>
          <w:p>
            <w:pPr>
              <w:spacing w:after="40"/>
            </w:pPr>
            <w:r>
              <w:rPr>
                <w:color w:val="5C5C5C"/>
                <w:sz w:val="20"/>
                <w:szCs w:val="20"/>
              </w:rPr>
              <w:t xml:space="preserve">Color cue per entry: failed attempts in muted gray (#B6B0A6), the 2022 passage in rust (#B2542C),</w:t>
            </w:r>
          </w:p>
          <w:p>
            <w:pPr>
              <w:spacing w:after="40"/>
            </w:pPr>
            <w:r>
              <w:rPr>
                <w:color w:val="5C5C5C"/>
                <w:sz w:val="20"/>
                <w:szCs w:val="20"/>
              </w:rPr>
              <w:t xml:space="preserve">  the 2025 implementation entry in navy (#1B3A4B).</w:t>
            </w:r>
          </w:p>
          <w:p>
            <w:pPr>
              <w:spacing w:after="40"/>
            </w:pPr>
            <w:r>
              <w:rPr>
                <w:color w:val="5C5C5C"/>
                <w:sz w:val="20"/>
                <w:szCs w:val="20"/>
              </w:rPr>
              <w:t xml:space="preserve">Citation per entry: link directly to the cited source where possible.</w:t>
            </w:r>
          </w:p>
          <w:p>
            <w:pPr>
              <w:spacing w:after="40"/>
            </w:pPr>
            <w:r>
              <w:rPr>
                <w:color w:val="5C5C5C"/>
                <w:sz w:val="20"/>
                <w:szCs w:val="20"/>
              </w:rPr>
              <w:t xml:space="preserve">Reading order: confirm keyboard navigation works through the timeline.</w:t>
            </w:r>
          </w:p>
        </w:tc>
      </w:tr>
    </w:tbl>
    <w:p>
      <w:pPr>
        <w:pBdr>
          <w:top w:val="single" w:color="1B3A4B" w:sz="16" w:space="8"/>
        </w:pBdr>
        <w:spacing w:after="120" w:before="240"/>
      </w:pPr>
      <w:r>
        <w:t xml:space="preserve"/>
      </w:r>
    </w:p>
    <w:p>
      <w:pPr>
        <w:spacing w:after="60"/>
      </w:pPr>
      <w:r>
        <w:rPr>
          <w:b/>
          <w:bCs/>
          <w:color w:val="B2542C"/>
          <w:sz w:val="22"/>
          <w:szCs w:val="22"/>
        </w:rPr>
        <w:t xml:space="preserve">SECTION 9  </w:t>
      </w:r>
      <w:r>
        <w:rPr>
          <w:color w:val="5C5C5C"/>
          <w:sz w:val="20"/>
          <w:szCs w:val="20"/>
        </w:rPr>
        <w:t xml:space="preserve">· Sidecar — the bypass, the bundle, the ballot  ·  </w:t>
      </w:r>
      <w:r>
        <w:rPr>
          <w:i/>
          <w:iCs/>
          <w:color w:val="1B3A4B"/>
          <w:sz w:val="20"/>
          <w:szCs w:val="20"/>
        </w:rPr>
        <w:t xml:space="preserve">The replicable mechanics of reform.</w:t>
      </w:r>
    </w:p>
    <w:p>
      <w:pPr>
        <w:pStyle w:val="Heading1"/>
        <w:spacing w:after="240"/>
      </w:pPr>
      <w:r>
        <w:rPr>
          <w:b/>
          <w:bCs/>
          <w:color w:val="1B3A4B"/>
          <w:sz w:val="40"/>
          <w:szCs w:val="40"/>
        </w:rPr>
        <w:t xml:space="preserve">How Initiative 307 Won</w:t>
      </w:r>
    </w:p>
    <w:p>
      <w:pPr>
        <w:spacing w:after="120"/>
      </w:pPr>
      <w:r>
        <w:rPr>
          <w:sz w:val="22"/>
          <w:szCs w:val="22"/>
        </w:rPr>
        <w:t xml:space="preserve">Three slides. The advocate-action layer is woven in here, not as a separate section: campaign mechanics, signature math, the bundle structure, the political theory of change.</w:t>
      </w:r>
    </w:p>
    <w:p>
      <w:pPr>
        <w:pStyle w:val="Heading4"/>
        <w:spacing w:after="60" w:before="160"/>
      </w:pPr>
      <w:r>
        <w:rPr>
          <w:b/>
          <w:bCs/>
          <w:color w:val="1B3A4B"/>
          <w:sz w:val="22"/>
          <w:szCs w:val="22"/>
        </w:rPr>
        <w:t xml:space="preserve">Slide 1 — The bypass</w:t>
      </w:r>
    </w:p>
    <w:p>
      <w:pPr>
        <w:pBdr>
          <w:left w:val="single" w:color="2D6A4F" w:sz="12" w:space="8"/>
        </w:pBdr>
        <w:spacing w:after="120"/>
        <w:ind w:left="360"/>
      </w:pPr>
      <w:r>
        <w:rPr>
          <w:b/>
          <w:bCs/>
          <w:color w:val="2D6A4F"/>
          <w:sz w:val="18"/>
          <w:szCs w:val="18"/>
        </w:rPr>
        <w:t xml:space="preserve">PASTE  </w:t>
      </w:r>
      <w:r>
        <w:rPr>
          <w:sz w:val="22"/>
          <w:szCs w:val="22"/>
        </w:rPr>
        <w:t xml:space="preserve">By 2022, advocates had stopped asking City Council to change the model. They put it on the ballot themselves.</w:t>
      </w:r>
    </w:p>
    <w:p>
      <w:pPr>
        <w:pBdr>
          <w:left w:val="single" w:color="2D6A4F" w:sz="12" w:space="8"/>
        </w:pBdr>
        <w:spacing w:after="120"/>
        <w:ind w:left="360"/>
      </w:pPr>
      <w:r>
        <w:rPr>
          <w:b/>
          <w:bCs/>
          <w:color w:val="2D6A4F"/>
          <w:sz w:val="18"/>
          <w:szCs w:val="18"/>
        </w:rPr>
        <w:t xml:space="preserve">PASTE  </w:t>
      </w:r>
      <w:r>
        <w:rPr>
          <w:sz w:val="22"/>
          <w:szCs w:val="22"/>
        </w:rPr>
        <w:t xml:space="preserve">The Denver Deserves Sidewalks campaign collected nearly 20,000 signatures across roughly six months of fieldwork. The proposal was simple to explain in one sentence: a small annual fee on every property, scaled to lot frontage, in exchange for the city — not the homeowner — becoming responsible for sidewalk construction and repair.</w:t>
      </w:r>
    </w:p>
    <w:p>
      <w:pPr>
        <w:spacing w:after="100"/>
        <w:ind w:left="360"/>
      </w:pPr>
      <w:r>
        <w:rPr>
          <w:b/>
          <w:bCs/>
          <w:color w:val="8B0000"/>
          <w:sz w:val="18"/>
          <w:szCs w:val="18"/>
        </w:rPr>
        <w:t xml:space="preserve">⚠ VERIFY:  </w:t>
      </w:r>
      <w:r>
        <w:rPr>
          <w:color w:val="8B0000"/>
          <w:sz w:val="18"/>
          <w:szCs w:val="18"/>
        </w:rPr>
        <w:t xml:space="preserve">~20,000 signatures, six-month timeline</w:t>
      </w:r>
      <w:r>
        <w:rPr>
          <w:i/>
          <w:iCs/>
          <w:color w:val="5C5C5C"/>
          <w:sz w:val="18"/>
          <w:szCs w:val="18"/>
        </w:rPr>
        <w:t xml:space="preserve">  [Source: Project history doc + DDS campaign materials. VERIFY 6-month figure with DDS campaign directly.]</w:t>
      </w:r>
    </w:p>
    <w:p>
      <w:pPr>
        <w:pStyle w:val="Heading4"/>
        <w:spacing w:after="60" w:before="160"/>
      </w:pPr>
      <w:r>
        <w:rPr>
          <w:b/>
          <w:bCs/>
          <w:color w:val="1B3A4B"/>
          <w:sz w:val="22"/>
          <w:szCs w:val="22"/>
        </w:rPr>
        <w:t xml:space="preserve">Slide 2 — What voters approved</w:t>
      </w:r>
    </w:p>
    <w:p>
      <w:pPr>
        <w:pBdr>
          <w:left w:val="single" w:color="2D6A4F" w:sz="12" w:space="8"/>
        </w:pBdr>
        <w:spacing w:after="120"/>
        <w:ind w:left="360"/>
      </w:pPr>
      <w:r>
        <w:rPr>
          <w:b/>
          <w:bCs/>
          <w:color w:val="2D6A4F"/>
          <w:sz w:val="18"/>
          <w:szCs w:val="18"/>
        </w:rPr>
        <w:t xml:space="preserve">PASTE  </w:t>
      </w:r>
      <w:r>
        <w:rPr>
          <w:sz w:val="22"/>
          <w:szCs w:val="22"/>
        </w:rPr>
        <w:t xml:space="preserve">Initiative 307 passed in November 2022. The vote did three things at once.</w:t>
      </w:r>
    </w:p>
    <w:p>
      <w:pPr>
        <w:pBdr>
          <w:left w:val="single" w:color="2D6A4F" w:sz="12" w:space="8"/>
        </w:pBdr>
        <w:spacing w:after="120"/>
        <w:ind w:left="360"/>
      </w:pPr>
      <w:r>
        <w:rPr>
          <w:b/>
          <w:bCs/>
          <w:color w:val="2D6A4F"/>
          <w:sz w:val="18"/>
          <w:szCs w:val="18"/>
        </w:rPr>
        <w:t xml:space="preserve">PASTE  </w:t>
      </w:r>
      <w:r>
        <w:rPr>
          <w:sz w:val="22"/>
          <w:szCs w:val="22"/>
        </w:rPr>
        <w:t xml:space="preserve">First: it shifted legal responsibility from property owner to city across all parcel types.</w:t>
      </w:r>
    </w:p>
    <w:p>
      <w:pPr>
        <w:pBdr>
          <w:left w:val="single" w:color="2D6A4F" w:sz="12" w:space="8"/>
        </w:pBdr>
        <w:spacing w:after="120"/>
        <w:ind w:left="360"/>
      </w:pPr>
      <w:r>
        <w:rPr>
          <w:b/>
          <w:bCs/>
          <w:color w:val="2D6A4F"/>
          <w:sz w:val="18"/>
          <w:szCs w:val="18"/>
        </w:rPr>
        <w:t xml:space="preserve">PASTE  </w:t>
      </w:r>
      <w:r>
        <w:rPr>
          <w:sz w:val="22"/>
          <w:szCs w:val="22"/>
        </w:rPr>
        <w:t xml:space="preserve">Second: it created a dedicated, recurring funding stream — not a one-time bond. Sidewalk funding stopped competing with every other budget line each year.</w:t>
      </w:r>
    </w:p>
    <w:p>
      <w:pPr>
        <w:pBdr>
          <w:left w:val="single" w:color="2D6A4F" w:sz="12" w:space="8"/>
        </w:pBdr>
        <w:spacing w:after="120"/>
        <w:ind w:left="360"/>
      </w:pPr>
      <w:r>
        <w:rPr>
          <w:b/>
          <w:bCs/>
          <w:color w:val="2D6A4F"/>
          <w:sz w:val="18"/>
          <w:szCs w:val="18"/>
        </w:rPr>
        <w:t xml:space="preserve">PASTE  </w:t>
      </w:r>
      <w:r>
        <w:rPr>
          <w:sz w:val="22"/>
          <w:szCs w:val="22"/>
        </w:rPr>
        <w:t xml:space="preserve">Third: it required prioritization based on need. The implementation language was on the ballot, not added later.</w:t>
      </w:r>
    </w:p>
    <w:p>
      <w:pPr>
        <w:pStyle w:val="Heading4"/>
        <w:spacing w:after="60" w:before="160"/>
      </w:pPr>
      <w:r>
        <w:rPr>
          <w:b/>
          <w:bCs/>
          <w:color w:val="1B3A4B"/>
          <w:sz w:val="22"/>
          <w:szCs w:val="22"/>
        </w:rPr>
        <w:t xml:space="preserve">Slide 3 — Why this won when twenty years of attempts didn't</w:t>
      </w:r>
    </w:p>
    <w:p>
      <w:pPr>
        <w:pBdr>
          <w:left w:val="single" w:color="2D6A4F" w:sz="12" w:space="8"/>
        </w:pBdr>
        <w:spacing w:after="120"/>
        <w:ind w:left="360"/>
      </w:pPr>
      <w:r>
        <w:rPr>
          <w:b/>
          <w:bCs/>
          <w:color w:val="2D6A4F"/>
          <w:sz w:val="18"/>
          <w:szCs w:val="18"/>
        </w:rPr>
        <w:t xml:space="preserve">PASTE  </w:t>
      </w:r>
      <w:r>
        <w:rPr>
          <w:sz w:val="22"/>
          <w:szCs w:val="22"/>
        </w:rPr>
        <w:t xml:space="preserve">Every prior attempt — from 1984 onward — tried to make the property-owner model work better. Initiative 307 replaced it. That is the difference.</w:t>
      </w:r>
    </w:p>
    <w:p>
      <w:pPr>
        <w:pBdr>
          <w:left w:val="single" w:color="2D6A4F" w:sz="12" w:space="8"/>
        </w:pBdr>
        <w:spacing w:after="120"/>
        <w:ind w:left="360"/>
      </w:pPr>
      <w:r>
        <w:rPr>
          <w:b/>
          <w:bCs/>
          <w:color w:val="2D6A4F"/>
          <w:sz w:val="18"/>
          <w:szCs w:val="18"/>
        </w:rPr>
        <w:t xml:space="preserve">PASTE  </w:t>
      </w:r>
      <w:r>
        <w:rPr>
          <w:sz w:val="22"/>
          <w:szCs w:val="22"/>
        </w:rPr>
        <w:t xml:space="preserve">The campaign also did something city government had been politically unable to do: bundle a fee with a clear, visible benefit. Property owners gave up a future repair bill they couldn't predict in exchange for a smaller, predictable annual one. That trade was easier for voters to make than for council members to propose.</w:t>
      </w:r>
    </w:p>
    <w:p>
      <w:pPr>
        <w:pBdr>
          <w:left w:val="single" w:color="2D6A4F" w:sz="12" w:space="8"/>
        </w:pBdr>
        <w:spacing w:after="120"/>
        <w:ind w:left="360"/>
      </w:pPr>
      <w:r>
        <w:rPr>
          <w:b/>
          <w:bCs/>
          <w:color w:val="2D6A4F"/>
          <w:sz w:val="18"/>
          <w:szCs w:val="18"/>
        </w:rPr>
        <w:t xml:space="preserve">PASTE  </w:t>
      </w:r>
      <w:r>
        <w:rPr>
          <w:sz w:val="22"/>
          <w:szCs w:val="22"/>
        </w:rPr>
        <w:t xml:space="preserve">Advocate-facing lesson: when council action stalls for two decades, a well-funded ballot campaign is not a backup plan. It is the plan. Denver Deserves Sidewalks did it in roughly three years from inception to passage.</w:t>
      </w:r>
    </w:p>
    <w:p>
      <w:pPr>
        <w:pStyle w:val="Heading3"/>
        <w:spacing w:after="80" w:before="200"/>
      </w:pPr>
      <w:r>
        <w:rPr>
          <w:b/>
          <w:bCs/>
          <w:color w:val="B2542C"/>
          <w:sz w:val="24"/>
          <w:szCs w:val="24"/>
        </w:rPr>
        <w:t xml:space="preserve">Visuals</w:t>
      </w:r>
    </w:p>
    <w:p>
      <w:pPr>
        <w:pStyle w:val="ListParagraph"/>
        <w:numPr>
          <w:ilvl w:val="0"/>
          <w:numId w:val="2"/>
        </w:numPr>
        <w:spacing w:after="60"/>
      </w:pPr>
      <w:r>
        <w:rPr>
          <w:sz w:val="22"/>
          <w:szCs w:val="22"/>
        </w:rPr>
        <w:t xml:space="preserve">Slide 1: photo from the signature-gathering campaign — volunteers with clipboards. Source from Denver Streets Partnership / DDS campaign archive. Credit explicitly.</w:t>
      </w:r>
    </w:p>
    <w:p>
      <w:pPr>
        <w:pStyle w:val="ListParagraph"/>
        <w:numPr>
          <w:ilvl w:val="0"/>
          <w:numId w:val="2"/>
        </w:numPr>
        <w:spacing w:after="60"/>
      </w:pPr>
      <w:r>
        <w:rPr>
          <w:sz w:val="22"/>
          <w:szCs w:val="22"/>
        </w:rPr>
        <w:t xml:space="preserve">Slide 2: a clean infographic of the three changes. Designed to mirror the four-column governance graphic from Section 3 — sidewalks finally join the public-goods column. The visual rhyme is the structural payoff of the entire first half of the Story Map.</w:t>
      </w:r>
    </w:p>
    <w:p>
      <w:pPr>
        <w:pStyle w:val="ListParagraph"/>
        <w:numPr>
          <w:ilvl w:val="0"/>
          <w:numId w:val="2"/>
        </w:numPr>
        <w:spacing w:after="60"/>
      </w:pPr>
      <w:r>
        <w:rPr>
          <w:sz w:val="22"/>
          <w:szCs w:val="22"/>
        </w:rPr>
        <w:t xml:space="preserve">Slide 3: a side-by-side comparison diagram — old model (property owner pays surprise bills) vs. new model (everyone pays predictable fees, city builds and repairs).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 SECTION 9</w:t>
            </w:r>
          </w:p>
          <w:p>
            <w:pPr>
              <w:spacing w:after="40"/>
            </w:pPr>
            <w:r>
              <w:rPr>
                <w:color w:val="5C5C5C"/>
                <w:sz w:val="20"/>
                <w:szCs w:val="20"/>
              </w:rPr>
              <w:t xml:space="preserve">Block: Sidecar. 3 slides.</w:t>
            </w:r>
          </w:p>
          <w:p>
            <w:pPr>
              <w:spacing w:after="40"/>
            </w:pPr>
            <w:r>
              <w:rPr>
                <w:color w:val="5C5C5C"/>
                <w:sz w:val="20"/>
                <w:szCs w:val="20"/>
              </w:rPr>
              <w:t xml:space="preserve">Slide 2 infographic MUST visually rhyme with Section 3 Slide 3. Same icon style, same column structure,</w:t>
            </w:r>
          </w:p>
          <w:p>
            <w:pPr>
              <w:spacing w:after="40"/>
            </w:pPr>
            <w:r>
              <w:rPr>
                <w:color w:val="5C5C5C"/>
                <w:sz w:val="20"/>
                <w:szCs w:val="20"/>
              </w:rPr>
              <w:t xml:space="preserve">  same type treatment. Only the fourth column changes (private → public).</w:t>
            </w:r>
          </w:p>
          <w:p>
            <w:pPr>
              <w:spacing w:after="40"/>
            </w:pPr>
            <w:r>
              <w:rPr>
                <w:color w:val="5C5C5C"/>
                <w:sz w:val="20"/>
                <w:szCs w:val="20"/>
              </w:rPr>
              <w:t xml:space="preserve">Slide 3: keep the comparison diagram simple. Two columns, no more than five elements per column.</w:t>
            </w:r>
          </w:p>
        </w:tc>
      </w:tr>
    </w:tbl>
    <w:p>
      <w:pPr>
        <w:pBdr>
          <w:top w:val="single" w:color="1B3A4B" w:sz="16" w:space="8"/>
        </w:pBdr>
        <w:spacing w:after="120" w:before="240"/>
      </w:pPr>
      <w:r>
        <w:t xml:space="preserve"/>
      </w:r>
    </w:p>
    <w:p>
      <w:pPr>
        <w:spacing w:after="60"/>
      </w:pPr>
      <w:r>
        <w:rPr>
          <w:b/>
          <w:bCs/>
          <w:color w:val="B2542C"/>
          <w:sz w:val="22"/>
          <w:szCs w:val="22"/>
        </w:rPr>
        <w:t xml:space="preserve">SECTION 10  </w:t>
      </w:r>
      <w:r>
        <w:rPr>
          <w:color w:val="5C5C5C"/>
          <w:sz w:val="20"/>
          <w:szCs w:val="20"/>
        </w:rPr>
        <w:t xml:space="preserve">· Sidecar — implementation snapshot  ·  </w:t>
      </w:r>
      <w:r>
        <w:rPr>
          <w:i/>
          <w:iCs/>
          <w:color w:val="1B3A4B"/>
          <w:sz w:val="20"/>
          <w:szCs w:val="20"/>
        </w:rPr>
        <w:t xml:space="preserve">Show practitioners what 'after the win' actually looks like.</w:t>
      </w:r>
    </w:p>
    <w:p>
      <w:pPr>
        <w:pStyle w:val="Heading1"/>
        <w:spacing w:after="240"/>
      </w:pPr>
      <w:r>
        <w:rPr>
          <w:b/>
          <w:bCs/>
          <w:color w:val="1B3A4B"/>
          <w:sz w:val="40"/>
          <w:szCs w:val="40"/>
        </w:rPr>
        <w:t xml:space="preserve">Where Denver Stands Today</w:t>
      </w:r>
    </w:p>
    <w:p>
      <w:pPr>
        <w:pStyle w:val="Heading4"/>
        <w:spacing w:after="60" w:before="160"/>
      </w:pPr>
      <w:r>
        <w:rPr>
          <w:b/>
          <w:bCs/>
          <w:color w:val="1B3A4B"/>
          <w:sz w:val="22"/>
          <w:szCs w:val="22"/>
        </w:rPr>
        <w:t xml:space="preserve">Slide 1 — The Sidewalk Improvement Program</w:t>
      </w:r>
    </w:p>
    <w:p>
      <w:pPr>
        <w:pBdr>
          <w:left w:val="single" w:color="2D6A4F" w:sz="12" w:space="8"/>
        </w:pBdr>
        <w:spacing w:after="120"/>
        <w:ind w:left="360"/>
      </w:pPr>
      <w:r>
        <w:rPr>
          <w:b/>
          <w:bCs/>
          <w:color w:val="2D6A4F"/>
          <w:sz w:val="18"/>
          <w:szCs w:val="18"/>
        </w:rPr>
        <w:t xml:space="preserve">PASTE  </w:t>
      </w:r>
      <w:r>
        <w:rPr>
          <w:sz w:val="22"/>
          <w:szCs w:val="22"/>
        </w:rPr>
        <w:t xml:space="preserve">DOTI launched the Sidewalk Improvement Program (SIP) to administer the new model. The program collects the annual fee, prioritizes work, and contracts construction and repair.</w:t>
      </w:r>
    </w:p>
    <w:p>
      <w:pPr>
        <w:pBdr>
          <w:left w:val="single" w:color="2D6A4F" w:sz="12" w:space="8"/>
        </w:pBdr>
        <w:spacing w:after="120"/>
        <w:ind w:left="360"/>
      </w:pPr>
      <w:r>
        <w:rPr>
          <w:b/>
          <w:bCs/>
          <w:color w:val="2D6A4F"/>
          <w:sz w:val="18"/>
          <w:szCs w:val="18"/>
        </w:rPr>
        <w:t xml:space="preserve">PASTE  </w:t>
      </w:r>
      <w:r>
        <w:rPr>
          <w:sz w:val="22"/>
          <w:szCs w:val="22"/>
        </w:rPr>
        <w:t xml:space="preserve">Following Council refinements after the 2022 vote, the fee structure for most residential lots became a flat rate. Income-qualified households are eligible for rebates. Larger commercial parcels pay more.</w:t>
      </w:r>
    </w:p>
    <w:p>
      <w:pPr>
        <w:pBdr>
          <w:left w:val="single" w:color="2D6A4F" w:sz="12" w:space="8"/>
        </w:pBdr>
        <w:spacing w:after="120"/>
        <w:ind w:left="360"/>
      </w:pPr>
      <w:r>
        <w:rPr>
          <w:b/>
          <w:bCs/>
          <w:color w:val="2D6A4F"/>
          <w:sz w:val="18"/>
          <w:szCs w:val="18"/>
        </w:rPr>
        <w:t xml:space="preserve">PASTE  </w:t>
      </w:r>
      <w:r>
        <w:rPr>
          <w:sz w:val="22"/>
          <w:szCs w:val="22"/>
        </w:rPr>
        <w:t xml:space="preserve">Fee collection began in January 2025. The program operates on a 9-year master plan to build and repair a complete, ADA-compliant network.</w:t>
      </w:r>
    </w:p>
    <w:p>
      <w:pPr>
        <w:pStyle w:val="Heading4"/>
        <w:spacing w:after="60" w:before="160"/>
      </w:pPr>
      <w:r>
        <w:rPr>
          <w:b/>
          <w:bCs/>
          <w:color w:val="1B3A4B"/>
          <w:sz w:val="22"/>
          <w:szCs w:val="22"/>
        </w:rPr>
        <w:t xml:space="preserve">Slide 2 — What's working</w:t>
      </w:r>
    </w:p>
    <w:p>
      <w:pPr>
        <w:pBdr>
          <w:left w:val="single" w:color="2D6A4F" w:sz="12" w:space="8"/>
        </w:pBdr>
        <w:spacing w:after="120"/>
        <w:ind w:left="360"/>
      </w:pPr>
      <w:r>
        <w:rPr>
          <w:b/>
          <w:bCs/>
          <w:color w:val="2D6A4F"/>
          <w:sz w:val="18"/>
          <w:szCs w:val="18"/>
        </w:rPr>
        <w:t xml:space="preserve">PASTE  </w:t>
      </w:r>
      <w:r>
        <w:rPr>
          <w:sz w:val="22"/>
          <w:szCs w:val="22"/>
        </w:rPr>
        <w:t xml:space="preserve">The program rests on three structural elements that distinguish it from every prior Denver attempt.</w:t>
      </w:r>
    </w:p>
    <w:p>
      <w:pPr>
        <w:pBdr>
          <w:left w:val="single" w:color="2D6A4F" w:sz="12" w:space="8"/>
        </w:pBdr>
        <w:spacing w:after="120"/>
        <w:ind w:left="360"/>
      </w:pPr>
      <w:r>
        <w:rPr>
          <w:b/>
          <w:bCs/>
          <w:color w:val="2D6A4F"/>
          <w:sz w:val="18"/>
          <w:szCs w:val="18"/>
        </w:rPr>
        <w:t xml:space="preserve">PASTE  </w:t>
      </w:r>
      <w:r>
        <w:rPr>
          <w:sz w:val="22"/>
          <w:szCs w:val="22"/>
        </w:rPr>
        <w:t xml:space="preserve">First, legal responsibility is the city's, not the homeowner's. Second, funding is dedicated rather than appropriated annually. Third, prioritization is needs-based rather than complaint-driven.</w:t>
      </w:r>
    </w:p>
    <w:p>
      <w:pPr>
        <w:pBdr>
          <w:left w:val="single" w:color="2D6A4F" w:sz="12" w:space="8"/>
        </w:pBdr>
        <w:spacing w:after="120"/>
        <w:ind w:left="360"/>
      </w:pPr>
      <w:r>
        <w:rPr>
          <w:b/>
          <w:bCs/>
          <w:color w:val="2D6A4F"/>
          <w:sz w:val="18"/>
          <w:szCs w:val="18"/>
        </w:rPr>
        <w:t xml:space="preserve">PASTE  </w:t>
      </w:r>
      <w:r>
        <w:rPr>
          <w:sz w:val="22"/>
          <w:szCs w:val="22"/>
        </w:rPr>
        <w:t xml:space="preserve">The first two are durable by design. The third is the active question — and it's the one practitioners in other cities should watch most closely as SIP progresses.</w:t>
      </w:r>
    </w:p>
    <w:p>
      <w:pPr>
        <w:pStyle w:val="Heading4"/>
        <w:spacing w:after="60" w:before="160"/>
      </w:pPr>
      <w:r>
        <w:rPr>
          <w:b/>
          <w:bCs/>
          <w:color w:val="1B3A4B"/>
          <w:sz w:val="22"/>
          <w:szCs w:val="22"/>
        </w:rPr>
        <w:t xml:space="preserve">Slide 3 — What's still open</w:t>
      </w:r>
    </w:p>
    <w:p>
      <w:pPr>
        <w:pBdr>
          <w:left w:val="single" w:color="2D6A4F" w:sz="12" w:space="8"/>
        </w:pBdr>
        <w:spacing w:after="120"/>
        <w:ind w:left="360"/>
      </w:pPr>
      <w:r>
        <w:rPr>
          <w:b/>
          <w:bCs/>
          <w:color w:val="2D6A4F"/>
          <w:sz w:val="18"/>
          <w:szCs w:val="18"/>
        </w:rPr>
        <w:t xml:space="preserve">PASTE  </w:t>
      </w:r>
      <w:r>
        <w:rPr>
          <w:sz w:val="22"/>
          <w:szCs w:val="22"/>
        </w:rPr>
        <w:t xml:space="preserve">Three things are still being worked out.</w:t>
      </w:r>
    </w:p>
    <w:p>
      <w:pPr>
        <w:pBdr>
          <w:left w:val="single" w:color="2D6A4F" w:sz="12" w:space="8"/>
        </w:pBdr>
        <w:spacing w:after="120"/>
        <w:ind w:left="360"/>
      </w:pPr>
      <w:r>
        <w:rPr>
          <w:b/>
          <w:bCs/>
          <w:color w:val="2D6A4F"/>
          <w:sz w:val="18"/>
          <w:szCs w:val="18"/>
        </w:rPr>
        <w:t xml:space="preserve">PASTE  </w:t>
      </w:r>
      <w:r>
        <w:rPr>
          <w:sz w:val="22"/>
          <w:szCs w:val="22"/>
        </w:rPr>
        <w:t xml:space="preserve">First: how SIP coordinates with utility cuts and curb-ramp ADA work. Sidewalks share the right-of-way with everything else, and the schedules don't always align.</w:t>
      </w:r>
    </w:p>
    <w:p>
      <w:pPr>
        <w:pBdr>
          <w:left w:val="single" w:color="2D6A4F" w:sz="12" w:space="8"/>
        </w:pBdr>
        <w:spacing w:after="120"/>
        <w:ind w:left="360"/>
      </w:pPr>
      <w:r>
        <w:rPr>
          <w:b/>
          <w:bCs/>
          <w:color w:val="2D6A4F"/>
          <w:sz w:val="18"/>
          <w:szCs w:val="18"/>
        </w:rPr>
        <w:t xml:space="preserve">PASTE  </w:t>
      </w:r>
      <w:r>
        <w:rPr>
          <w:sz w:val="22"/>
          <w:szCs w:val="22"/>
        </w:rPr>
        <w:t xml:space="preserve">Second: how the city closes the gap between annual fee revenue and the $1.1 billion total need over a 9-year plan.</w:t>
      </w:r>
    </w:p>
    <w:p>
      <w:pPr>
        <w:pBdr>
          <w:left w:val="single" w:color="2D6A4F" w:sz="12" w:space="8"/>
        </w:pBdr>
        <w:spacing w:after="120"/>
        <w:ind w:left="360"/>
      </w:pPr>
      <w:r>
        <w:rPr>
          <w:b/>
          <w:bCs/>
          <w:color w:val="2D6A4F"/>
          <w:sz w:val="18"/>
          <w:szCs w:val="18"/>
        </w:rPr>
        <w:t xml:space="preserve">PASTE  </w:t>
      </w:r>
      <w:r>
        <w:rPr>
          <w:sz w:val="22"/>
          <w:szCs w:val="22"/>
        </w:rPr>
        <w:t xml:space="preserve">Third: how non-residential parcels — especially institutional and government-owned lots — are brought into compliance under the same standards.</w:t>
      </w:r>
    </w:p>
    <w:p>
      <w:pPr>
        <w:pBdr>
          <w:left w:val="single" w:color="2D6A4F" w:sz="12" w:space="8"/>
        </w:pBdr>
        <w:spacing w:after="120"/>
        <w:ind w:left="360"/>
      </w:pPr>
      <w:r>
        <w:rPr>
          <w:b/>
          <w:bCs/>
          <w:color w:val="2D6A4F"/>
          <w:sz w:val="18"/>
          <w:szCs w:val="18"/>
        </w:rPr>
        <w:t xml:space="preserve">PASTE  </w:t>
      </w:r>
      <w:r>
        <w:rPr>
          <w:sz w:val="22"/>
          <w:szCs w:val="22"/>
        </w:rPr>
        <w:t xml:space="preserve">None of these are reasons to abandon the model. They are reasons to keep paying attention.</w:t>
      </w:r>
    </w:p>
    <w:p>
      <w:pPr>
        <w:pStyle w:val="Heading3"/>
        <w:spacing w:after="80" w:before="200"/>
      </w:pPr>
      <w:r>
        <w:rPr>
          <w:b/>
          <w:bCs/>
          <w:color w:val="B2542C"/>
          <w:sz w:val="24"/>
          <w:szCs w:val="24"/>
        </w:rPr>
        <w:t xml:space="preserve">Visuals</w:t>
      </w:r>
    </w:p>
    <w:p>
      <w:pPr>
        <w:pStyle w:val="ListParagraph"/>
        <w:numPr>
          <w:ilvl w:val="0"/>
          <w:numId w:val="2"/>
        </w:numPr>
        <w:spacing w:after="60"/>
      </w:pPr>
      <w:r>
        <w:rPr>
          <w:sz w:val="22"/>
          <w:szCs w:val="22"/>
        </w:rPr>
        <w:t xml:space="preserve">Slide 1: a clean diagram of the SIP fee structure post-Council refinement. Three or four parcel types with their fee bands.</w:t>
      </w:r>
    </w:p>
    <w:p>
      <w:pPr>
        <w:pStyle w:val="ListParagraph"/>
        <w:numPr>
          <w:ilvl w:val="0"/>
          <w:numId w:val="2"/>
        </w:numPr>
        <w:spacing w:after="60"/>
      </w:pPr>
      <w:r>
        <w:rPr>
          <w:sz w:val="22"/>
          <w:szCs w:val="22"/>
        </w:rPr>
        <w:t xml:space="preserve">Slide 2: a Denver map showing completed and in-progress SIP construction districts. Pair with three small icons representing the three structural elements.</w:t>
      </w:r>
    </w:p>
    <w:p>
      <w:pPr>
        <w:pStyle w:val="ListParagraph"/>
        <w:numPr>
          <w:ilvl w:val="0"/>
          <w:numId w:val="2"/>
        </w:numPr>
        <w:spacing w:after="60"/>
      </w:pPr>
      <w:r>
        <w:rPr>
          <w:sz w:val="22"/>
          <w:szCs w:val="22"/>
        </w:rPr>
        <w:t xml:space="preserve">Slide 3: an honest funding-gap chart — annual SIP revenue vs. annualized $1.1B need over 9 years. Show the gap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 SECTION 10</w:t>
            </w:r>
          </w:p>
          <w:p>
            <w:pPr>
              <w:spacing w:after="40"/>
            </w:pPr>
            <w:r>
              <w:rPr>
                <w:color w:val="5C5C5C"/>
                <w:sz w:val="20"/>
                <w:szCs w:val="20"/>
              </w:rPr>
              <w:t xml:space="preserve">Block: Sidecar. 3 slides.</w:t>
            </w:r>
          </w:p>
          <w:p>
            <w:pPr>
              <w:spacing w:after="40"/>
            </w:pPr>
            <w:r>
              <w:rPr>
                <w:color w:val="5C5C5C"/>
                <w:sz w:val="20"/>
                <w:szCs w:val="20"/>
              </w:rPr>
              <w:t xml:space="preserve">Slide 1: confirm the post-Council fee structure with DOTI before publication.</w:t>
            </w:r>
          </w:p>
          <w:p>
            <w:pPr>
              <w:spacing w:after="40"/>
            </w:pPr>
            <w:r>
              <w:rPr>
                <w:color w:val="5C5C5C"/>
                <w:sz w:val="20"/>
                <w:szCs w:val="20"/>
              </w:rPr>
              <w:t xml:space="preserve">Slide 3 chart: pull from your project's analysis. The honesty matters — practitioners trust</w:t>
            </w:r>
          </w:p>
          <w:p>
            <w:pPr>
              <w:spacing w:after="40"/>
            </w:pPr>
            <w:r>
              <w:rPr>
                <w:color w:val="5C5C5C"/>
                <w:sz w:val="20"/>
                <w:szCs w:val="20"/>
              </w:rPr>
              <w:t xml:space="preserve">  a Story Map that names what's unresolved more than one that pretends the model has solved everything.</w:t>
            </w:r>
          </w:p>
        </w:tc>
      </w:tr>
    </w:tbl>
    <w:p>
      <w:pPr>
        <w:pBdr>
          <w:top w:val="single" w:color="1B3A4B" w:sz="16" w:space="8"/>
        </w:pBdr>
        <w:spacing w:after="120" w:before="240"/>
      </w:pPr>
      <w:r>
        <w:t xml:space="preserve"/>
      </w:r>
    </w:p>
    <w:p>
      <w:pPr>
        <w:spacing w:after="60"/>
      </w:pPr>
      <w:r>
        <w:rPr>
          <w:b/>
          <w:bCs/>
          <w:color w:val="B2542C"/>
          <w:sz w:val="22"/>
          <w:szCs w:val="22"/>
        </w:rPr>
        <w:t xml:space="preserve">SECTION 11  </w:t>
      </w:r>
      <w:r>
        <w:rPr>
          <w:color w:val="5C5C5C"/>
          <w:sz w:val="20"/>
          <w:szCs w:val="20"/>
        </w:rPr>
        <w:t xml:space="preserve">· Sidecar — real models, real cities, real tradeoffs  ·  </w:t>
      </w:r>
      <w:r>
        <w:rPr>
          <w:i/>
          <w:iCs/>
          <w:color w:val="1B3A4B"/>
          <w:sz w:val="20"/>
          <w:szCs w:val="20"/>
        </w:rPr>
        <w:t xml:space="preserve">The teaching tool. Practitioners will screenshot this section.</w:t>
      </w:r>
    </w:p>
    <w:p>
      <w:pPr>
        <w:pStyle w:val="Heading1"/>
        <w:spacing w:after="240"/>
      </w:pPr>
      <w:r>
        <w:rPr>
          <w:b/>
          <w:bCs/>
          <w:color w:val="1B3A4B"/>
          <w:sz w:val="40"/>
          <w:szCs w:val="40"/>
        </w:rPr>
        <w:t xml:space="preserve">The Eight Reform Pathways</w:t>
      </w:r>
    </w:p>
    <w:p>
      <w:pPr>
        <w:spacing w:after="120"/>
      </w:pPr>
      <w:r>
        <w:rPr>
          <w:sz w:val="22"/>
          <w:szCs w:val="22"/>
        </w:rPr>
        <w:t xml:space="preserve">This section uses the eight-model typology from your Chapter 5.3 — drawn from the 2019 Denver City Council Legislative Services research report and your own comparative inventory. v2's invented five-model list is replaced with your documented eight.</w:t>
      </w:r>
    </w:p>
    <w:p>
      <w:pPr>
        <w:spacing w:after="120"/>
      </w:pPr>
      <w:r>
        <w:rPr>
          <w:sz w:val="22"/>
          <w:szCs w:val="22"/>
        </w:rPr>
        <w:t xml:space="preserve">Structure: an intro slide that frames reform as a spectrum, followed by eight model slides. Each model slide carries: the mechanism, example cities (with population scale), the authorization pathway, the key tradeoff, and a one-sentence verdict. Practitioners can screenshot any single slide and use it in a council briefing.</w:t>
      </w:r>
    </w:p>
    <w:p>
      <w:pPr>
        <w:pStyle w:val="Heading4"/>
        <w:spacing w:after="60" w:before="160"/>
      </w:pPr>
      <w:r>
        <w:rPr>
          <w:b/>
          <w:bCs/>
          <w:color w:val="1B3A4B"/>
          <w:sz w:val="22"/>
          <w:szCs w:val="22"/>
        </w:rPr>
        <w:t xml:space="preserve">Intro slide — the spectrum</w:t>
      </w:r>
    </w:p>
    <w:p>
      <w:pPr>
        <w:pBdr>
          <w:left w:val="single" w:color="2D6A4F" w:sz="12" w:space="8"/>
        </w:pBdr>
        <w:spacing w:after="120"/>
        <w:ind w:left="360"/>
      </w:pPr>
      <w:r>
        <w:rPr>
          <w:b/>
          <w:bCs/>
          <w:color w:val="2D6A4F"/>
          <w:sz w:val="18"/>
          <w:szCs w:val="18"/>
        </w:rPr>
        <w:t xml:space="preserve">PASTE  </w:t>
      </w:r>
      <w:r>
        <w:rPr>
          <w:sz w:val="22"/>
          <w:szCs w:val="22"/>
        </w:rPr>
        <w:t xml:space="preserve">Initiative 307 is one of eight recognizable pathways out of the property-owner model. Cities have chosen between them based on three things: their existing legal authority, their political environment, and what their network actually looks like.</w:t>
      </w:r>
    </w:p>
    <w:p>
      <w:pPr>
        <w:pBdr>
          <w:left w:val="single" w:color="2D6A4F" w:sz="12" w:space="8"/>
        </w:pBdr>
        <w:spacing w:after="120"/>
        <w:ind w:left="360"/>
      </w:pPr>
      <w:r>
        <w:rPr>
          <w:b/>
          <w:bCs/>
          <w:color w:val="2D6A4F"/>
          <w:sz w:val="18"/>
          <w:szCs w:val="18"/>
        </w:rPr>
        <w:t xml:space="preserve">PASTE  </w:t>
      </w:r>
      <w:r>
        <w:rPr>
          <w:sz w:val="22"/>
          <w:szCs w:val="22"/>
        </w:rPr>
        <w:t xml:space="preserve">None of these models is universally correct. Each works for some cities and breaks for others. The point of this field guide is to help you locate your own city on the spectrum.</w:t>
      </w:r>
    </w:p>
    <w:p>
      <w:pPr>
        <w:pStyle w:val="Heading4"/>
        <w:spacing w:after="60" w:before="160"/>
      </w:pPr>
      <w:r>
        <w:rPr>
          <w:b/>
          <w:bCs/>
          <w:color w:val="1B3A4B"/>
          <w:sz w:val="22"/>
          <w:szCs w:val="22"/>
        </w:rPr>
        <w:t xml:space="preserve">1. Public Ownership</w:t>
      </w:r>
    </w:p>
    <w:p>
      <w:pPr>
        <w:spacing w:after="60"/>
      </w:pPr>
      <w:r>
        <w:rPr>
          <w:b/>
          <w:bCs/>
          <w:sz w:val="20"/>
          <w:szCs w:val="20"/>
        </w:rPr>
        <w:t xml:space="preserve">Mechanism:  </w:t>
      </w:r>
      <w:r>
        <w:rPr>
          <w:sz w:val="20"/>
          <w:szCs w:val="20"/>
        </w:rPr>
        <w:t xml:space="preserve">General fund covers construction and maintenance. The city treats sidewalks as part of its core infrastructure, like streets.</w:t>
      </w:r>
    </w:p>
    <w:p>
      <w:pPr>
        <w:spacing w:after="60"/>
      </w:pPr>
      <w:r>
        <w:rPr>
          <w:b/>
          <w:bCs/>
          <w:sz w:val="20"/>
          <w:szCs w:val="20"/>
        </w:rPr>
        <w:t xml:space="preserve">Example cities:  </w:t>
      </w:r>
      <w:r>
        <w:rPr>
          <w:sz w:val="20"/>
          <w:szCs w:val="20"/>
        </w:rPr>
        <w:t xml:space="preserve">Spanish Fork (UT), Maitland (FL), Lincoln (NE), Boston (MA)</w:t>
      </w:r>
    </w:p>
    <w:p>
      <w:pPr>
        <w:spacing w:after="60"/>
      </w:pPr>
      <w:r>
        <w:rPr>
          <w:b/>
          <w:bCs/>
          <w:sz w:val="20"/>
          <w:szCs w:val="20"/>
        </w:rPr>
        <w:t xml:space="preserve">Authorization:  </w:t>
      </w:r>
      <w:r>
        <w:rPr>
          <w:sz w:val="20"/>
          <w:szCs w:val="20"/>
        </w:rPr>
        <w:t xml:space="preserve">Council action</w:t>
      </w:r>
    </w:p>
    <w:p>
      <w:pPr>
        <w:spacing w:after="60"/>
      </w:pPr>
      <w:r>
        <w:rPr>
          <w:b/>
          <w:bCs/>
          <w:color w:val="B2542C"/>
          <w:sz w:val="20"/>
          <w:szCs w:val="20"/>
        </w:rPr>
        <w:t xml:space="preserve">Key tradeoff:  </w:t>
      </w:r>
      <w:r>
        <w:rPr>
          <w:sz w:val="20"/>
          <w:szCs w:val="20"/>
        </w:rPr>
        <w:t xml:space="preserve">Simple administration. Funding competes annually with every other priority and can be cut during downturns.</w:t>
      </w:r>
    </w:p>
    <w:p>
      <w:pPr>
        <w:spacing w:after="160"/>
      </w:pPr>
      <w:r>
        <w:rPr>
          <w:b/>
          <w:bCs/>
          <w:color w:val="2D6A4F"/>
          <w:sz w:val="20"/>
          <w:szCs w:val="20"/>
        </w:rPr>
        <w:t xml:space="preserve">Verdict:  </w:t>
      </w:r>
      <w:r>
        <w:rPr>
          <w:i/>
          <w:iCs/>
          <w:sz w:val="20"/>
          <w:szCs w:val="20"/>
        </w:rPr>
        <w:t xml:space="preserve">Cleanest model on paper; fragile in recession years without a dedicated revenue stream.</w:t>
      </w:r>
    </w:p>
    <w:p>
      <w:pPr>
        <w:pStyle w:val="Heading4"/>
        <w:spacing w:after="60" w:before="160"/>
      </w:pPr>
      <w:r>
        <w:rPr>
          <w:b/>
          <w:bCs/>
          <w:color w:val="1B3A4B"/>
          <w:sz w:val="22"/>
          <w:szCs w:val="22"/>
        </w:rPr>
        <w:t xml:space="preserve">2. Utility Fee</w:t>
      </w:r>
    </w:p>
    <w:p>
      <w:pPr>
        <w:spacing w:after="60"/>
      </w:pPr>
      <w:r>
        <w:rPr>
          <w:b/>
          <w:bCs/>
          <w:sz w:val="20"/>
          <w:szCs w:val="20"/>
        </w:rPr>
        <w:t xml:space="preserve">Mechanism:  </w:t>
      </w:r>
      <w:r>
        <w:rPr>
          <w:sz w:val="20"/>
          <w:szCs w:val="20"/>
        </w:rPr>
        <w:t xml:space="preserve">Flat monthly charge billed alongside water, sewer, or trash. Englewood's opt-in version sits at ~$0.12 per square foot of sidewalk and runs at 95% voluntary participation.</w:t>
      </w:r>
    </w:p>
    <w:p>
      <w:pPr>
        <w:spacing w:after="60"/>
      </w:pPr>
      <w:r>
        <w:rPr>
          <w:b/>
          <w:bCs/>
          <w:sz w:val="20"/>
          <w:szCs w:val="20"/>
        </w:rPr>
        <w:t xml:space="preserve">Example cities:  </w:t>
      </w:r>
      <w:r>
        <w:rPr>
          <w:sz w:val="20"/>
          <w:szCs w:val="20"/>
        </w:rPr>
        <w:t xml:space="preserve">Payette (ID), Westminster (CO), Englewood (CO), Baker City (OR)</w:t>
      </w:r>
    </w:p>
    <w:p>
      <w:pPr>
        <w:spacing w:after="60"/>
      </w:pPr>
      <w:r>
        <w:rPr>
          <w:b/>
          <w:bCs/>
          <w:sz w:val="20"/>
          <w:szCs w:val="20"/>
        </w:rPr>
        <w:t xml:space="preserve">Authorization:  </w:t>
      </w:r>
      <w:r>
        <w:rPr>
          <w:sz w:val="20"/>
          <w:szCs w:val="20"/>
        </w:rPr>
        <w:t xml:space="preserve">Council action</w:t>
      </w:r>
    </w:p>
    <w:p>
      <w:pPr>
        <w:spacing w:after="60"/>
      </w:pPr>
      <w:r>
        <w:rPr>
          <w:b/>
          <w:bCs/>
          <w:color w:val="B2542C"/>
          <w:sz w:val="20"/>
          <w:szCs w:val="20"/>
        </w:rPr>
        <w:t xml:space="preserve">Key tradeoff:  </w:t>
      </w:r>
      <w:r>
        <w:rPr>
          <w:sz w:val="20"/>
          <w:szCs w:val="20"/>
        </w:rPr>
        <w:t xml:space="preserve">Predictable revenue, low administrative cost. Flat fees are regressive without an income-based structure.</w:t>
      </w:r>
    </w:p>
    <w:p>
      <w:pPr>
        <w:spacing w:after="160"/>
      </w:pPr>
      <w:r>
        <w:rPr>
          <w:b/>
          <w:bCs/>
          <w:color w:val="2D6A4F"/>
          <w:sz w:val="20"/>
          <w:szCs w:val="20"/>
        </w:rPr>
        <w:t xml:space="preserve">Verdict:  </w:t>
      </w:r>
      <w:r>
        <w:rPr>
          <w:i/>
          <w:iCs/>
          <w:sz w:val="20"/>
          <w:szCs w:val="20"/>
        </w:rPr>
        <w:t xml:space="preserve">The fastest path to dedicated revenue when council is willing to act.</w:t>
      </w:r>
    </w:p>
    <w:p>
      <w:pPr>
        <w:pStyle w:val="Heading4"/>
        <w:spacing w:after="60" w:before="160"/>
      </w:pPr>
      <w:r>
        <w:rPr>
          <w:b/>
          <w:bCs/>
          <w:color w:val="1B3A4B"/>
          <w:sz w:val="22"/>
          <w:szCs w:val="22"/>
        </w:rPr>
        <w:t xml:space="preserve">3. Dedicated Annual Fee</w:t>
      </w:r>
    </w:p>
    <w:p>
      <w:pPr>
        <w:spacing w:after="60"/>
      </w:pPr>
      <w:r>
        <w:rPr>
          <w:b/>
          <w:bCs/>
          <w:sz w:val="20"/>
          <w:szCs w:val="20"/>
        </w:rPr>
        <w:t xml:space="preserve">Mechanism:  </w:t>
      </w:r>
      <w:r>
        <w:rPr>
          <w:sz w:val="20"/>
          <w:szCs w:val="20"/>
        </w:rPr>
        <w:t xml:space="preserve">Parcel-based fee outside utility billing, scaled by property type and frontage. Funds a dedicated sidewalk program directly.</w:t>
      </w:r>
    </w:p>
    <w:p>
      <w:pPr>
        <w:spacing w:after="60"/>
      </w:pPr>
      <w:r>
        <w:rPr>
          <w:b/>
          <w:bCs/>
          <w:sz w:val="20"/>
          <w:szCs w:val="20"/>
        </w:rPr>
        <w:t xml:space="preserve">Example cities:  </w:t>
      </w:r>
      <w:r>
        <w:rPr>
          <w:sz w:val="20"/>
          <w:szCs w:val="20"/>
        </w:rPr>
        <w:t xml:space="preserve">Denver (CO) post-Initiative 307</w:t>
      </w:r>
    </w:p>
    <w:p>
      <w:pPr>
        <w:spacing w:after="60"/>
      </w:pPr>
      <w:r>
        <w:rPr>
          <w:b/>
          <w:bCs/>
          <w:sz w:val="20"/>
          <w:szCs w:val="20"/>
        </w:rPr>
        <w:t xml:space="preserve">Authorization:  </w:t>
      </w:r>
      <w:r>
        <w:rPr>
          <w:sz w:val="20"/>
          <w:szCs w:val="20"/>
        </w:rPr>
        <w:t xml:space="preserve">Voter mandate</w:t>
      </w:r>
    </w:p>
    <w:p>
      <w:pPr>
        <w:spacing w:after="60"/>
      </w:pPr>
      <w:r>
        <w:rPr>
          <w:b/>
          <w:bCs/>
          <w:color w:val="B2542C"/>
          <w:sz w:val="20"/>
          <w:szCs w:val="20"/>
        </w:rPr>
        <w:t xml:space="preserve">Key tradeoff:  </w:t>
      </w:r>
      <w:r>
        <w:rPr>
          <w:sz w:val="20"/>
          <w:szCs w:val="20"/>
        </w:rPr>
        <w:t xml:space="preserve">Strong revenue protection, durable beyond political cycles. Long advocacy timeline to pass.</w:t>
      </w:r>
    </w:p>
    <w:p>
      <w:pPr>
        <w:spacing w:after="160"/>
      </w:pPr>
      <w:r>
        <w:rPr>
          <w:b/>
          <w:bCs/>
          <w:color w:val="2D6A4F"/>
          <w:sz w:val="20"/>
          <w:szCs w:val="20"/>
        </w:rPr>
        <w:t xml:space="preserve">Verdict:  </w:t>
      </w:r>
      <w:r>
        <w:rPr>
          <w:i/>
          <w:iCs/>
          <w:sz w:val="20"/>
          <w:szCs w:val="20"/>
        </w:rPr>
        <w:t xml:space="preserve">The Denver model. Best fit when council action has stalled and ballot capacity exists.</w:t>
      </w:r>
    </w:p>
    <w:p>
      <w:pPr>
        <w:pStyle w:val="Heading4"/>
        <w:spacing w:after="60" w:before="160"/>
      </w:pPr>
      <w:r>
        <w:rPr>
          <w:b/>
          <w:bCs/>
          <w:color w:val="1B3A4B"/>
          <w:sz w:val="22"/>
          <w:szCs w:val="22"/>
        </w:rPr>
        <w:t xml:space="preserve">4. Property Tax Millage</w:t>
      </w:r>
    </w:p>
    <w:p>
      <w:pPr>
        <w:spacing w:after="60"/>
      </w:pPr>
      <w:r>
        <w:rPr>
          <w:b/>
          <w:bCs/>
          <w:sz w:val="20"/>
          <w:szCs w:val="20"/>
        </w:rPr>
        <w:t xml:space="preserve">Mechanism:  </w:t>
      </w:r>
      <w:r>
        <w:rPr>
          <w:sz w:val="20"/>
          <w:szCs w:val="20"/>
        </w:rPr>
        <w:t xml:space="preserve">Dedicated millage rate. Ann Arbor's 0.125-mill levy was approved in 2011; East Grand Rapids uses a broader 2-mill levy covering streets and sidewalks.</w:t>
      </w:r>
    </w:p>
    <w:p>
      <w:pPr>
        <w:spacing w:after="60"/>
      </w:pPr>
      <w:r>
        <w:rPr>
          <w:b/>
          <w:bCs/>
          <w:sz w:val="20"/>
          <w:szCs w:val="20"/>
        </w:rPr>
        <w:t xml:space="preserve">Example cities:  </w:t>
      </w:r>
      <w:r>
        <w:rPr>
          <w:sz w:val="20"/>
          <w:szCs w:val="20"/>
        </w:rPr>
        <w:t xml:space="preserve">Ann Arbor (MI), East Grand Rapids (MI)</w:t>
      </w:r>
    </w:p>
    <w:p>
      <w:pPr>
        <w:spacing w:after="60"/>
      </w:pPr>
      <w:r>
        <w:rPr>
          <w:b/>
          <w:bCs/>
          <w:sz w:val="20"/>
          <w:szCs w:val="20"/>
        </w:rPr>
        <w:t xml:space="preserve">Authorization:  </w:t>
      </w:r>
      <w:r>
        <w:rPr>
          <w:sz w:val="20"/>
          <w:szCs w:val="20"/>
        </w:rPr>
        <w:t xml:space="preserve">Voter mandate, periodic renewal</w:t>
      </w:r>
    </w:p>
    <w:p>
      <w:pPr>
        <w:spacing w:after="60"/>
      </w:pPr>
      <w:r>
        <w:rPr>
          <w:b/>
          <w:bCs/>
          <w:color w:val="B2542C"/>
          <w:sz w:val="20"/>
          <w:szCs w:val="20"/>
        </w:rPr>
        <w:t xml:space="preserve">Key tradeoff:  </w:t>
      </w:r>
      <w:r>
        <w:rPr>
          <w:sz w:val="20"/>
          <w:szCs w:val="20"/>
        </w:rPr>
        <w:t xml:space="preserve">Substantial revenue, strong legal foundation. Subject to renewal cycles and competing tax pressures.</w:t>
      </w:r>
    </w:p>
    <w:p>
      <w:pPr>
        <w:spacing w:after="160"/>
      </w:pPr>
      <w:r>
        <w:rPr>
          <w:b/>
          <w:bCs/>
          <w:color w:val="2D6A4F"/>
          <w:sz w:val="20"/>
          <w:szCs w:val="20"/>
        </w:rPr>
        <w:t xml:space="preserve">Verdict:  </w:t>
      </w:r>
      <w:r>
        <w:rPr>
          <w:i/>
          <w:iCs/>
          <w:sz w:val="20"/>
          <w:szCs w:val="20"/>
        </w:rPr>
        <w:t xml:space="preserve">Reliable in states without constitutional millage limits; less viable where supermajority requirements apply.</w:t>
      </w:r>
    </w:p>
    <w:p>
      <w:pPr>
        <w:pStyle w:val="Heading4"/>
        <w:spacing w:after="60" w:before="160"/>
      </w:pPr>
      <w:r>
        <w:rPr>
          <w:b/>
          <w:bCs/>
          <w:color w:val="1B3A4B"/>
          <w:sz w:val="22"/>
          <w:szCs w:val="22"/>
        </w:rPr>
        <w:t xml:space="preserve">5. Parcel Tax</w:t>
      </w:r>
    </w:p>
    <w:p>
      <w:pPr>
        <w:spacing w:after="60"/>
      </w:pPr>
      <w:r>
        <w:rPr>
          <w:b/>
          <w:bCs/>
          <w:sz w:val="20"/>
          <w:szCs w:val="20"/>
        </w:rPr>
        <w:t xml:space="preserve">Mechanism:  </w:t>
      </w:r>
      <w:r>
        <w:rPr>
          <w:sz w:val="20"/>
          <w:szCs w:val="20"/>
        </w:rPr>
        <w:t xml:space="preserve">Flat per-parcel or per-square-foot tax. Berkeley's 2024 Measure FF generates ~$15M annually for 14 years through a $0.17/sqft residential and $0.25/sqft non-residential rate.</w:t>
      </w:r>
    </w:p>
    <w:p>
      <w:pPr>
        <w:spacing w:after="60"/>
      </w:pPr>
      <w:r>
        <w:rPr>
          <w:b/>
          <w:bCs/>
          <w:sz w:val="20"/>
          <w:szCs w:val="20"/>
        </w:rPr>
        <w:t xml:space="preserve">Example cities:  </w:t>
      </w:r>
      <w:r>
        <w:rPr>
          <w:sz w:val="20"/>
          <w:szCs w:val="20"/>
        </w:rPr>
        <w:t xml:space="preserve">Berkeley (CA) Measure FF</w:t>
      </w:r>
    </w:p>
    <w:p>
      <w:pPr>
        <w:spacing w:after="60"/>
      </w:pPr>
      <w:r>
        <w:rPr>
          <w:b/>
          <w:bCs/>
          <w:sz w:val="20"/>
          <w:szCs w:val="20"/>
        </w:rPr>
        <w:t xml:space="preserve">Authorization:  </w:t>
      </w:r>
      <w:r>
        <w:rPr>
          <w:sz w:val="20"/>
          <w:szCs w:val="20"/>
        </w:rPr>
        <w:t xml:space="preserve">Voter mandate (simple majority under California Prop 13)</w:t>
      </w:r>
    </w:p>
    <w:p>
      <w:pPr>
        <w:spacing w:after="60"/>
      </w:pPr>
      <w:r>
        <w:rPr>
          <w:b/>
          <w:bCs/>
          <w:color w:val="B2542C"/>
          <w:sz w:val="20"/>
          <w:szCs w:val="20"/>
        </w:rPr>
        <w:t xml:space="preserve">Key tradeoff:  </w:t>
      </w:r>
      <w:r>
        <w:rPr>
          <w:sz w:val="20"/>
          <w:szCs w:val="20"/>
        </w:rPr>
        <w:t xml:space="preserve">Workable in states where millages face supermajority hurdles. Distributional impact depends on rate structure.</w:t>
      </w:r>
    </w:p>
    <w:p>
      <w:pPr>
        <w:spacing w:after="160"/>
      </w:pPr>
      <w:r>
        <w:rPr>
          <w:b/>
          <w:bCs/>
          <w:color w:val="2D6A4F"/>
          <w:sz w:val="20"/>
          <w:szCs w:val="20"/>
        </w:rPr>
        <w:t xml:space="preserve">Verdict:  </w:t>
      </w:r>
      <w:r>
        <w:rPr>
          <w:i/>
          <w:iCs/>
          <w:sz w:val="20"/>
          <w:szCs w:val="20"/>
        </w:rPr>
        <w:t xml:space="preserve">The structural workaround for California-style legal constraints. Berkeley is the contemporary model.</w:t>
      </w:r>
    </w:p>
    <w:p>
      <w:pPr>
        <w:pStyle w:val="Heading4"/>
        <w:spacing w:after="60" w:before="160"/>
      </w:pPr>
      <w:r>
        <w:rPr>
          <w:b/>
          <w:bCs/>
          <w:color w:val="1B3A4B"/>
          <w:sz w:val="22"/>
          <w:szCs w:val="22"/>
        </w:rPr>
        <w:t xml:space="preserve">6. Improvement District</w:t>
      </w:r>
    </w:p>
    <w:p>
      <w:pPr>
        <w:spacing w:after="60"/>
      </w:pPr>
      <w:r>
        <w:rPr>
          <w:b/>
          <w:bCs/>
          <w:sz w:val="20"/>
          <w:szCs w:val="20"/>
        </w:rPr>
        <w:t xml:space="preserve">Mechanism:  </w:t>
      </w:r>
      <w:r>
        <w:rPr>
          <w:sz w:val="20"/>
          <w:szCs w:val="20"/>
        </w:rPr>
        <w:t xml:space="preserve">Geographic districts with annual fees scaled by property classification. Maintenance costs are socialized across all property owners in the district rather than placed on individual parcels.</w:t>
      </w:r>
    </w:p>
    <w:p>
      <w:pPr>
        <w:spacing w:after="60"/>
      </w:pPr>
      <w:r>
        <w:rPr>
          <w:b/>
          <w:bCs/>
          <w:sz w:val="20"/>
          <w:szCs w:val="20"/>
        </w:rPr>
        <w:t xml:space="preserve">Example cities:  </w:t>
      </w:r>
      <w:r>
        <w:rPr>
          <w:sz w:val="20"/>
          <w:szCs w:val="20"/>
        </w:rPr>
        <w:t xml:space="preserve">Ithaca (NY), five Sidewalk Improvement Districts</w:t>
      </w:r>
    </w:p>
    <w:p>
      <w:pPr>
        <w:spacing w:after="60"/>
      </w:pPr>
      <w:r>
        <w:rPr>
          <w:b/>
          <w:bCs/>
          <w:sz w:val="20"/>
          <w:szCs w:val="20"/>
        </w:rPr>
        <w:t xml:space="preserve">Authorization:  </w:t>
      </w:r>
      <w:r>
        <w:rPr>
          <w:sz w:val="20"/>
          <w:szCs w:val="20"/>
        </w:rPr>
        <w:t xml:space="preserve">Council action</w:t>
      </w:r>
    </w:p>
    <w:p>
      <w:pPr>
        <w:spacing w:after="60"/>
      </w:pPr>
      <w:r>
        <w:rPr>
          <w:b/>
          <w:bCs/>
          <w:color w:val="B2542C"/>
          <w:sz w:val="20"/>
          <w:szCs w:val="20"/>
        </w:rPr>
        <w:t xml:space="preserve">Key tradeoff:  </w:t>
      </w:r>
      <w:r>
        <w:rPr>
          <w:sz w:val="20"/>
          <w:szCs w:val="20"/>
        </w:rPr>
        <w:t xml:space="preserve">Equity scaling possible; finer-grained than citywide fees. Administrative complexity higher.</w:t>
      </w:r>
    </w:p>
    <w:p>
      <w:pPr>
        <w:spacing w:after="160"/>
      </w:pPr>
      <w:r>
        <w:rPr>
          <w:b/>
          <w:bCs/>
          <w:color w:val="2D6A4F"/>
          <w:sz w:val="20"/>
          <w:szCs w:val="20"/>
        </w:rPr>
        <w:t xml:space="preserve">Verdict:  </w:t>
      </w:r>
      <w:r>
        <w:rPr>
          <w:i/>
          <w:iCs/>
          <w:sz w:val="20"/>
          <w:szCs w:val="20"/>
        </w:rPr>
        <w:t xml:space="preserve">Best for cities with significant variation in conditions across neighborhoods and a willingness to manage geographic differentiation.</w:t>
      </w:r>
    </w:p>
    <w:p>
      <w:pPr>
        <w:pStyle w:val="Heading4"/>
        <w:spacing w:after="60" w:before="160"/>
      </w:pPr>
      <w:r>
        <w:rPr>
          <w:b/>
          <w:bCs/>
          <w:color w:val="1B3A4B"/>
          <w:sz w:val="22"/>
          <w:szCs w:val="22"/>
        </w:rPr>
        <w:t xml:space="preserve">7. Inspection-and-Bill</w:t>
      </w:r>
    </w:p>
    <w:p>
      <w:pPr>
        <w:spacing w:after="60"/>
      </w:pPr>
      <w:r>
        <w:rPr>
          <w:b/>
          <w:bCs/>
          <w:sz w:val="20"/>
          <w:szCs w:val="20"/>
        </w:rPr>
        <w:t xml:space="preserve">Mechanism:  </w:t>
      </w:r>
      <w:r>
        <w:rPr>
          <w:sz w:val="20"/>
          <w:szCs w:val="20"/>
        </w:rPr>
        <w:t xml:space="preserve">City inspects on a rotating cycle, makes repairs, and bills the property owner. Preserves property-owner liability as the legal frame while ensuring repairs proceed on a predictable schedule.</w:t>
      </w:r>
    </w:p>
    <w:p>
      <w:pPr>
        <w:spacing w:after="60"/>
      </w:pPr>
      <w:r>
        <w:rPr>
          <w:b/>
          <w:bCs/>
          <w:sz w:val="20"/>
          <w:szCs w:val="20"/>
        </w:rPr>
        <w:t xml:space="preserve">Example cities:  </w:t>
      </w:r>
      <w:r>
        <w:rPr>
          <w:sz w:val="20"/>
          <w:szCs w:val="20"/>
        </w:rPr>
        <w:t xml:space="preserve">Minneapolis (MN)</w:t>
      </w:r>
    </w:p>
    <w:p>
      <w:pPr>
        <w:spacing w:after="60"/>
      </w:pPr>
      <w:r>
        <w:rPr>
          <w:b/>
          <w:bCs/>
          <w:sz w:val="20"/>
          <w:szCs w:val="20"/>
        </w:rPr>
        <w:t xml:space="preserve">Authorization:  </w:t>
      </w:r>
      <w:r>
        <w:rPr>
          <w:sz w:val="20"/>
          <w:szCs w:val="20"/>
        </w:rPr>
        <w:t xml:space="preserve">Council action</w:t>
      </w:r>
    </w:p>
    <w:p>
      <w:pPr>
        <w:spacing w:after="60"/>
      </w:pPr>
      <w:r>
        <w:rPr>
          <w:b/>
          <w:bCs/>
          <w:color w:val="B2542C"/>
          <w:sz w:val="20"/>
          <w:szCs w:val="20"/>
        </w:rPr>
        <w:t xml:space="preserve">Key tradeoff:  </w:t>
      </w:r>
      <w:r>
        <w:rPr>
          <w:sz w:val="20"/>
          <w:szCs w:val="20"/>
        </w:rPr>
        <w:t xml:space="preserve">Doesn't require ballot or new revenue. Still places the cost on individual owners — surprise-bill problem isn't solved.</w:t>
      </w:r>
    </w:p>
    <w:p>
      <w:pPr>
        <w:spacing w:after="160"/>
      </w:pPr>
      <w:r>
        <w:rPr>
          <w:b/>
          <w:bCs/>
          <w:color w:val="2D6A4F"/>
          <w:sz w:val="20"/>
          <w:szCs w:val="20"/>
        </w:rPr>
        <w:t xml:space="preserve">Verdict:  </w:t>
      </w:r>
      <w:r>
        <w:rPr>
          <w:i/>
          <w:iCs/>
          <w:sz w:val="20"/>
          <w:szCs w:val="20"/>
        </w:rPr>
        <w:t xml:space="preserve">The hybrid pathway. Right answer when ballot reform isn't viable but operational improvement is achievable.</w:t>
      </w:r>
    </w:p>
    <w:p>
      <w:pPr>
        <w:pStyle w:val="Heading4"/>
        <w:spacing w:after="60" w:before="160"/>
      </w:pPr>
      <w:r>
        <w:rPr>
          <w:b/>
          <w:bCs/>
          <w:color w:val="1B3A4B"/>
          <w:sz w:val="22"/>
          <w:szCs w:val="22"/>
        </w:rPr>
        <w:t xml:space="preserve">8. General Levy (Streets + Sidewalks)</w:t>
      </w:r>
    </w:p>
    <w:p>
      <w:pPr>
        <w:spacing w:after="60"/>
      </w:pPr>
      <w:r>
        <w:rPr>
          <w:b/>
          <w:bCs/>
          <w:sz w:val="20"/>
          <w:szCs w:val="20"/>
        </w:rPr>
        <w:t xml:space="preserve">Mechanism:  </w:t>
      </w:r>
      <w:r>
        <w:rPr>
          <w:sz w:val="20"/>
          <w:szCs w:val="20"/>
        </w:rPr>
        <w:t xml:space="preserve">Voter-approved levy that funds streets and sidewalks together. Seattle's transportation levy is the largest example; Cheney funds streets and sidewalks through a 4% utility fee.</w:t>
      </w:r>
    </w:p>
    <w:p>
      <w:pPr>
        <w:spacing w:after="60"/>
      </w:pPr>
      <w:r>
        <w:rPr>
          <w:b/>
          <w:bCs/>
          <w:sz w:val="20"/>
          <w:szCs w:val="20"/>
        </w:rPr>
        <w:t xml:space="preserve">Example cities:  </w:t>
      </w:r>
      <w:r>
        <w:rPr>
          <w:sz w:val="20"/>
          <w:szCs w:val="20"/>
        </w:rPr>
        <w:t xml:space="preserve">Cheney (WA), East Grand Rapids (MI), Seattle (WA)</w:t>
      </w:r>
    </w:p>
    <w:p>
      <w:pPr>
        <w:spacing w:after="60"/>
      </w:pPr>
      <w:r>
        <w:rPr>
          <w:b/>
          <w:bCs/>
          <w:sz w:val="20"/>
          <w:szCs w:val="20"/>
        </w:rPr>
        <w:t xml:space="preserve">Authorization:  </w:t>
      </w:r>
      <w:r>
        <w:rPr>
          <w:sz w:val="20"/>
          <w:szCs w:val="20"/>
        </w:rPr>
        <w:t xml:space="preserve">Voter mandate, periodic renewal</w:t>
      </w:r>
    </w:p>
    <w:p>
      <w:pPr>
        <w:spacing w:after="60"/>
      </w:pPr>
      <w:r>
        <w:rPr>
          <w:b/>
          <w:bCs/>
          <w:color w:val="B2542C"/>
          <w:sz w:val="20"/>
          <w:szCs w:val="20"/>
        </w:rPr>
        <w:t xml:space="preserve">Key tradeoff:  </w:t>
      </w:r>
      <w:r>
        <w:rPr>
          <w:sz w:val="20"/>
          <w:szCs w:val="20"/>
        </w:rPr>
        <w:t xml:space="preserve">Larger revenue pool. Sidewalks compete with street priorities inside the same fund.</w:t>
      </w:r>
    </w:p>
    <w:p>
      <w:pPr>
        <w:spacing w:after="160"/>
      </w:pPr>
      <w:r>
        <w:rPr>
          <w:b/>
          <w:bCs/>
          <w:color w:val="2D6A4F"/>
          <w:sz w:val="20"/>
          <w:szCs w:val="20"/>
        </w:rPr>
        <w:t xml:space="preserve">Verdict:  </w:t>
      </w:r>
      <w:r>
        <w:rPr>
          <w:i/>
          <w:iCs/>
          <w:sz w:val="20"/>
          <w:szCs w:val="20"/>
        </w:rPr>
        <w:t xml:space="preserve">Works where the political coalition for transportation broadly is stronger than for sidewalks specifically.</w:t>
      </w:r>
    </w:p>
    <w:p>
      <w:pPr>
        <w:pStyle w:val="Heading3"/>
        <w:spacing w:after="80" w:before="200"/>
      </w:pPr>
      <w:r>
        <w:rPr>
          <w:b/>
          <w:bCs/>
          <w:color w:val="B2542C"/>
          <w:sz w:val="24"/>
          <w:szCs w:val="24"/>
        </w:rPr>
        <w:t xml:space="preserve">Visuals</w:t>
      </w:r>
    </w:p>
    <w:p>
      <w:pPr>
        <w:pStyle w:val="ListParagraph"/>
        <w:numPr>
          <w:ilvl w:val="0"/>
          <w:numId w:val="2"/>
        </w:numPr>
        <w:spacing w:after="60"/>
      </w:pPr>
      <w:r>
        <w:rPr>
          <w:sz w:val="22"/>
          <w:szCs w:val="22"/>
        </w:rPr>
        <w:t xml:space="preserve">Each model slide pairs the description on the left with a U.S. map on the right showing the example cities, color-coded by model.</w:t>
      </w:r>
    </w:p>
    <w:p>
      <w:pPr>
        <w:pStyle w:val="ListParagraph"/>
        <w:numPr>
          <w:ilvl w:val="0"/>
          <w:numId w:val="2"/>
        </w:numPr>
        <w:spacing w:after="60"/>
      </w:pPr>
      <w:r>
        <w:rPr>
          <w:sz w:val="22"/>
          <w:szCs w:val="22"/>
        </w:rPr>
        <w:t xml:space="preserve">Use a consistent eight-color palette for the models — anchor color to model so any single slide screenshot reads at a glance.</w:t>
      </w:r>
    </w:p>
    <w:p>
      <w:pPr>
        <w:pStyle w:val="ListParagraph"/>
        <w:numPr>
          <w:ilvl w:val="0"/>
          <w:numId w:val="2"/>
        </w:numPr>
        <w:spacing w:after="60"/>
      </w:pPr>
      <w:r>
        <w:rPr>
          <w:sz w:val="22"/>
          <w:szCs w:val="22"/>
        </w:rPr>
        <w:t xml:space="preserve">Caption every slide with the verdict line — practitioners will screenshot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 SECTION 11</w:t>
            </w:r>
          </w:p>
          <w:p>
            <w:pPr>
              <w:spacing w:after="40"/>
            </w:pPr>
            <w:r>
              <w:rPr>
                <w:color w:val="5C5C5C"/>
                <w:sz w:val="20"/>
                <w:szCs w:val="20"/>
              </w:rPr>
              <w:t xml:space="preserve">Block: Sidecar. 9 slides total (1 intro + 8 models). Test on mobile — 9 is at the edge of</w:t>
            </w:r>
          </w:p>
          <w:p>
            <w:pPr>
              <w:spacing w:after="40"/>
            </w:pPr>
            <w:r>
              <w:rPr>
                <w:color w:val="5C5C5C"/>
                <w:sz w:val="20"/>
                <w:szCs w:val="20"/>
              </w:rPr>
              <w:t xml:space="preserve">  what mobile readers will scroll through. If user testing shows drop-off, consolidate by</w:t>
            </w:r>
          </w:p>
          <w:p>
            <w:pPr>
              <w:spacing w:after="40"/>
            </w:pPr>
            <w:r>
              <w:rPr>
                <w:color w:val="5C5C5C"/>
                <w:sz w:val="20"/>
                <w:szCs w:val="20"/>
              </w:rPr>
              <w:t xml:space="preserve">  pairing models that share authorization pathway (e.g., Public Ownership + Utility Fee as</w:t>
            </w:r>
          </w:p>
          <w:p>
            <w:pPr>
              <w:spacing w:after="40"/>
            </w:pPr>
            <w:r>
              <w:rPr>
                <w:color w:val="5C5C5C"/>
                <w:sz w:val="20"/>
                <w:szCs w:val="20"/>
              </w:rPr>
              <w:t xml:space="preserve">  'council-action revenue models'; Dedicated Fee + Millage + Parcel Tax as 'voter-mandated'</w:t>
            </w:r>
          </w:p>
          <w:p>
            <w:pPr>
              <w:spacing w:after="40"/>
            </w:pPr>
            <w:r>
              <w:rPr>
                <w:color w:val="5C5C5C"/>
                <w:sz w:val="20"/>
                <w:szCs w:val="20"/>
              </w:rPr>
              <w:t xml:space="preserve">  revenue models).</w:t>
            </w:r>
          </w:p>
          <w:p>
            <w:pPr>
              <w:spacing w:after="40"/>
            </w:pPr>
            <w:r>
              <w:rPr>
                <w:color w:val="5C5C5C"/>
                <w:sz w:val="20"/>
                <w:szCs w:val="20"/>
              </w:rPr>
              <w:t xml:space="preserve">Underlying data: capstone Table 6 (typology). Confirmed clean.</w:t>
            </w:r>
          </w:p>
          <w:p>
            <w:pPr>
              <w:spacing w:after="40"/>
            </w:pPr>
            <w:r>
              <w:rPr>
                <w:color w:val="5C5C5C"/>
                <w:sz w:val="20"/>
                <w:szCs w:val="20"/>
              </w:rPr>
              <w:t xml:space="preserve">Map: U.S. basemap (light gray). Cities = labeled points, color-coded by model.</w:t>
            </w:r>
          </w:p>
          <w:p>
            <w:pPr>
              <w:spacing w:after="40"/>
            </w:pPr>
            <w:r>
              <w:rPr>
                <w:color w:val="5C5C5C"/>
                <w:sz w:val="20"/>
                <w:szCs w:val="20"/>
              </w:rPr>
              <w:t xml:space="preserve">  Other models' cities fade to 30% opacity per slide.</w:t>
            </w:r>
          </w:p>
          <w:p>
            <w:pPr>
              <w:spacing w:after="40"/>
            </w:pPr>
            <w:r>
              <w:rPr>
                <w:color w:val="5C5C5C"/>
                <w:sz w:val="20"/>
                <w:szCs w:val="20"/>
              </w:rPr>
              <w:t xml:space="preserve">DATA SOURCE: capstone Section 5.3, Table 6. Numbers (Englewood 95% participation, Berkeley $15M,</w:t>
            </w:r>
          </w:p>
          <w:p>
            <w:pPr>
              <w:spacing w:after="40"/>
            </w:pPr>
            <w:r>
              <w:rPr>
                <w:color w:val="5C5C5C"/>
                <w:sz w:val="20"/>
                <w:szCs w:val="20"/>
              </w:rPr>
              <w:t xml:space="preserve">  Ann Arbor 0.125-mill, etc.) come from the capstone's documented sources. Verify any change</w:t>
            </w:r>
          </w:p>
          <w:p>
            <w:pPr>
              <w:spacing w:after="40"/>
            </w:pPr>
            <w:r>
              <w:rPr>
                <w:color w:val="5C5C5C"/>
                <w:sz w:val="20"/>
                <w:szCs w:val="20"/>
              </w:rPr>
              <w:t xml:space="preserve">  to those numbers flows through to this section.</w:t>
            </w:r>
          </w:p>
        </w:tc>
      </w:tr>
    </w:tbl>
    <w:p>
      <w:pPr>
        <w:pBdr>
          <w:top w:val="single" w:color="1B3A4B" w:sz="16" w:space="8"/>
        </w:pBdr>
        <w:spacing w:after="120" w:before="240"/>
      </w:pPr>
      <w:r>
        <w:t xml:space="preserve"/>
      </w:r>
    </w:p>
    <w:p>
      <w:pPr>
        <w:spacing w:after="60"/>
      </w:pPr>
      <w:r>
        <w:rPr>
          <w:b/>
          <w:bCs/>
          <w:color w:val="B2542C"/>
          <w:sz w:val="22"/>
          <w:szCs w:val="22"/>
        </w:rPr>
        <w:t xml:space="preserve">SECTION 12  </w:t>
      </w:r>
      <w:r>
        <w:rPr>
          <w:color w:val="5C5C5C"/>
          <w:sz w:val="20"/>
          <w:szCs w:val="20"/>
        </w:rPr>
        <w:t xml:space="preserve">· Sidecar — practitioner toolkit + decision tree  ·  </w:t>
      </w:r>
      <w:r>
        <w:rPr>
          <w:i/>
          <w:iCs/>
          <w:color w:val="1B3A4B"/>
          <w:sz w:val="20"/>
          <w:szCs w:val="20"/>
        </w:rPr>
        <w:t xml:space="preserve">The reusable artifact.</w:t>
      </w:r>
    </w:p>
    <w:p>
      <w:pPr>
        <w:pStyle w:val="Heading1"/>
        <w:spacing w:after="240"/>
      </w:pPr>
      <w:r>
        <w:rPr>
          <w:b/>
          <w:bCs/>
          <w:color w:val="1B3A4B"/>
          <w:sz w:val="40"/>
          <w:szCs w:val="40"/>
        </w:rPr>
        <w:t xml:space="preserve">Diagnose Your Starting Point</w:t>
      </w:r>
    </w:p>
    <w:p>
      <w:pPr>
        <w:pStyle w:val="Heading3"/>
        <w:spacing w:after="80" w:before="200"/>
      </w:pPr>
      <w:r>
        <w:rPr>
          <w:b/>
          <w:bCs/>
          <w:color w:val="B2542C"/>
          <w:sz w:val="24"/>
          <w:szCs w:val="24"/>
        </w:rPr>
        <w:t xml:space="preserve">On-Screen — lead-in</w:t>
      </w:r>
    </w:p>
    <w:p>
      <w:pPr>
        <w:pBdr>
          <w:left w:val="single" w:color="2D6A4F" w:sz="12" w:space="8"/>
        </w:pBdr>
        <w:spacing w:after="120"/>
        <w:ind w:left="360"/>
      </w:pPr>
      <w:r>
        <w:rPr>
          <w:b/>
          <w:bCs/>
          <w:color w:val="2D6A4F"/>
          <w:sz w:val="18"/>
          <w:szCs w:val="18"/>
        </w:rPr>
        <w:t xml:space="preserve">PASTE  </w:t>
      </w:r>
      <w:r>
        <w:rPr>
          <w:sz w:val="22"/>
          <w:szCs w:val="22"/>
        </w:rPr>
        <w:t xml:space="preserve">If you are reading this for your own city, the question is not 'what should every city do.' The question is 'what should my city do, given where it is starting from.'</w:t>
      </w:r>
    </w:p>
    <w:p>
      <w:pPr>
        <w:pBdr>
          <w:left w:val="single" w:color="2D6A4F" w:sz="12" w:space="8"/>
        </w:pBdr>
        <w:spacing w:after="120"/>
        <w:ind w:left="360"/>
      </w:pPr>
      <w:r>
        <w:rPr>
          <w:b/>
          <w:bCs/>
          <w:color w:val="2D6A4F"/>
          <w:sz w:val="18"/>
          <w:szCs w:val="18"/>
        </w:rPr>
        <w:t xml:space="preserve">PASTE  </w:t>
      </w:r>
      <w:r>
        <w:rPr>
          <w:sz w:val="22"/>
          <w:szCs w:val="22"/>
        </w:rPr>
        <w:t xml:space="preserve">Three diagnostic questions narrow the field. Answer them honestly and the right pathway — or the right next step toward one — comes into focus.</w:t>
      </w:r>
    </w:p>
    <w:p>
      <w:pPr>
        <w:pStyle w:val="Heading3"/>
        <w:spacing w:after="80" w:before="200"/>
      </w:pPr>
      <w:r>
        <w:rPr>
          <w:b/>
          <w:bCs/>
          <w:color w:val="B2542C"/>
          <w:sz w:val="24"/>
          <w:szCs w:val="24"/>
        </w:rPr>
        <w:t xml:space="preserve">The Three Questions</w:t>
      </w:r>
    </w:p>
    <w:p>
      <w:pPr>
        <w:pStyle w:val="Heading4"/>
        <w:spacing w:after="60" w:before="160"/>
      </w:pPr>
      <w:r>
        <w:rPr>
          <w:b/>
          <w:bCs/>
          <w:color w:val="1B3A4B"/>
          <w:sz w:val="22"/>
          <w:szCs w:val="22"/>
        </w:rPr>
        <w:t xml:space="preserve">Question 1 — What does your gap look like?</w:t>
      </w:r>
    </w:p>
    <w:p>
      <w:pPr>
        <w:pBdr>
          <w:left w:val="single" w:color="2D6A4F" w:sz="12" w:space="8"/>
        </w:pBdr>
        <w:spacing w:after="120"/>
        <w:ind w:left="360"/>
      </w:pPr>
      <w:r>
        <w:rPr>
          <w:b/>
          <w:bCs/>
          <w:color w:val="2D6A4F"/>
          <w:sz w:val="18"/>
          <w:szCs w:val="18"/>
        </w:rPr>
        <w:t xml:space="preserve">PASTE  </w:t>
      </w:r>
      <w:r>
        <w:rPr>
          <w:sz w:val="22"/>
          <w:szCs w:val="22"/>
        </w:rPr>
        <w:t xml:space="preserve">If gaps are concentrated in older redlined cores: equity-prioritized retrofit programs work, and a SID or Public Ownership model can deliver them fastest.</w:t>
      </w:r>
    </w:p>
    <w:p>
      <w:pPr>
        <w:pBdr>
          <w:left w:val="single" w:color="2D6A4F" w:sz="12" w:space="8"/>
        </w:pBdr>
        <w:spacing w:after="120"/>
        <w:ind w:left="360"/>
      </w:pPr>
      <w:r>
        <w:rPr>
          <w:b/>
          <w:bCs/>
          <w:color w:val="2D6A4F"/>
          <w:sz w:val="18"/>
          <w:szCs w:val="18"/>
        </w:rPr>
        <w:t xml:space="preserve">PASTE  </w:t>
      </w:r>
      <w:r>
        <w:rPr>
          <w:sz w:val="22"/>
          <w:szCs w:val="22"/>
        </w:rPr>
        <w:t xml:space="preserve">If gaps are concentrated in car-era peripheral neighborhoods: prepare for high per-mile retrofit costs (drainage, right-of-way reclamation). Seattle's interim walkway program is the model worth studying — lower-cost street-grade pedestrian paths where full sidewalk construction would require prohibitively expensive drainage retrofit.</w:t>
      </w:r>
    </w:p>
    <w:p>
      <w:pPr>
        <w:pBdr>
          <w:left w:val="single" w:color="2D6A4F" w:sz="12" w:space="8"/>
        </w:pBdr>
        <w:spacing w:after="120"/>
        <w:ind w:left="360"/>
      </w:pPr>
      <w:r>
        <w:rPr>
          <w:b/>
          <w:bCs/>
          <w:color w:val="2D6A4F"/>
          <w:sz w:val="18"/>
          <w:szCs w:val="18"/>
        </w:rPr>
        <w:t xml:space="preserve">PASTE  </w:t>
      </w:r>
      <w:r>
        <w:rPr>
          <w:sz w:val="22"/>
          <w:szCs w:val="22"/>
        </w:rPr>
        <w:t xml:space="preserve">If gaps are in both: most cities are here. Plan a phased approach with a dedicated fund as the spine.</w:t>
      </w:r>
    </w:p>
    <w:p>
      <w:pPr>
        <w:pStyle w:val="Heading4"/>
        <w:spacing w:after="60" w:before="160"/>
      </w:pPr>
      <w:r>
        <w:rPr>
          <w:b/>
          <w:bCs/>
          <w:color w:val="1B3A4B"/>
          <w:sz w:val="22"/>
          <w:szCs w:val="22"/>
        </w:rPr>
        <w:t xml:space="preserve">Question 2 — Do you have the legal authority to assess a property-based fee?</w:t>
      </w:r>
    </w:p>
    <w:p>
      <w:pPr>
        <w:pBdr>
          <w:left w:val="single" w:color="2D6A4F" w:sz="12" w:space="8"/>
        </w:pBdr>
        <w:spacing w:after="120"/>
        <w:ind w:left="360"/>
      </w:pPr>
      <w:r>
        <w:rPr>
          <w:b/>
          <w:bCs/>
          <w:color w:val="2D6A4F"/>
          <w:sz w:val="18"/>
          <w:szCs w:val="18"/>
        </w:rPr>
        <w:t xml:space="preserve">PASTE  </w:t>
      </w:r>
      <w:r>
        <w:rPr>
          <w:sz w:val="22"/>
          <w:szCs w:val="22"/>
        </w:rPr>
        <w:t xml:space="preserve">In most states, yes. In California, Proposition 13 forbids millages without supermajority approval — Berkeley's 2024 Measure FF used a parcel-tax structure to work within that constraint.</w:t>
      </w:r>
    </w:p>
    <w:p>
      <w:pPr>
        <w:pBdr>
          <w:left w:val="single" w:color="2D6A4F" w:sz="12" w:space="8"/>
        </w:pBdr>
        <w:spacing w:after="120"/>
        <w:ind w:left="360"/>
      </w:pPr>
      <w:r>
        <w:rPr>
          <w:b/>
          <w:bCs/>
          <w:color w:val="2D6A4F"/>
          <w:sz w:val="18"/>
          <w:szCs w:val="18"/>
        </w:rPr>
        <w:t xml:space="preserve">PASTE  </w:t>
      </w:r>
      <w:r>
        <w:rPr>
          <w:sz w:val="22"/>
          <w:szCs w:val="22"/>
        </w:rPr>
        <w:t xml:space="preserve">This is a legal question, not a political one. Check it with municipal counsel before designing a model.</w:t>
      </w:r>
    </w:p>
    <w:p>
      <w:pPr>
        <w:pStyle w:val="Heading4"/>
        <w:spacing w:after="60" w:before="160"/>
      </w:pPr>
      <w:r>
        <w:rPr>
          <w:b/>
          <w:bCs/>
          <w:color w:val="1B3A4B"/>
          <w:sz w:val="22"/>
          <w:szCs w:val="22"/>
        </w:rPr>
        <w:t xml:space="preserve">Question 3 — Can your council move on its own, or will you need a ballot?</w:t>
      </w:r>
    </w:p>
    <w:p>
      <w:pPr>
        <w:pBdr>
          <w:left w:val="single" w:color="2D6A4F" w:sz="12" w:space="8"/>
        </w:pBdr>
        <w:spacing w:after="120"/>
        <w:ind w:left="360"/>
      </w:pPr>
      <w:r>
        <w:rPr>
          <w:b/>
          <w:bCs/>
          <w:color w:val="2D6A4F"/>
          <w:sz w:val="18"/>
          <w:szCs w:val="18"/>
        </w:rPr>
        <w:t xml:space="preserve">PASTE  </w:t>
      </w:r>
      <w:r>
        <w:rPr>
          <w:sz w:val="22"/>
          <w:szCs w:val="22"/>
        </w:rPr>
        <w:t xml:space="preserve">This is a political diagnosis.</w:t>
      </w:r>
    </w:p>
    <w:p>
      <w:pPr>
        <w:pBdr>
          <w:left w:val="single" w:color="2D6A4F" w:sz="12" w:space="8"/>
        </w:pBdr>
        <w:spacing w:after="120"/>
        <w:ind w:left="360"/>
      </w:pPr>
      <w:r>
        <w:rPr>
          <w:b/>
          <w:bCs/>
          <w:color w:val="2D6A4F"/>
          <w:sz w:val="18"/>
          <w:szCs w:val="18"/>
        </w:rPr>
        <w:t xml:space="preserve">PASTE  </w:t>
      </w:r>
      <w:r>
        <w:rPr>
          <w:sz w:val="22"/>
          <w:szCs w:val="22"/>
        </w:rPr>
        <w:t xml:space="preserve">If your council has acted on sidewalks in the last decade and is plausibly willing to act in the next two years: pursue council action. Faster, cheaper, reversible if it doesn't work.</w:t>
      </w:r>
    </w:p>
    <w:p>
      <w:pPr>
        <w:pBdr>
          <w:left w:val="single" w:color="2D6A4F" w:sz="12" w:space="8"/>
        </w:pBdr>
        <w:spacing w:after="120"/>
        <w:ind w:left="360"/>
      </w:pPr>
      <w:r>
        <w:rPr>
          <w:b/>
          <w:bCs/>
          <w:color w:val="2D6A4F"/>
          <w:sz w:val="18"/>
          <w:szCs w:val="18"/>
        </w:rPr>
        <w:t xml:space="preserve">PASTE  </w:t>
      </w:r>
      <w:r>
        <w:rPr>
          <w:sz w:val="22"/>
          <w:szCs w:val="22"/>
        </w:rPr>
        <w:t xml:space="preserve">If your council has not been able to act for a decade and is unlikely to in the next two: do not spend another decade trying to convince them. Build the ballot campaign.</w:t>
      </w:r>
    </w:p>
    <w:p>
      <w:pPr>
        <w:pBdr>
          <w:left w:val="single" w:color="2D6A4F" w:sz="12" w:space="8"/>
        </w:pBdr>
        <w:spacing w:after="120"/>
        <w:ind w:left="360"/>
      </w:pPr>
      <w:r>
        <w:rPr>
          <w:b/>
          <w:bCs/>
          <w:color w:val="2D6A4F"/>
          <w:sz w:val="18"/>
          <w:szCs w:val="18"/>
        </w:rPr>
        <w:t xml:space="preserve">PASTE  </w:t>
      </w:r>
      <w:r>
        <w:rPr>
          <w:sz w:val="22"/>
          <w:szCs w:val="22"/>
        </w:rPr>
        <w:t xml:space="preserve">If you can keep the existing legal frame but improve operational delivery: Minneapolis's inspection-and-bill model is the lowest-friction reform of any in this guide.</w:t>
      </w:r>
    </w:p>
    <w:p>
      <w:pPr>
        <w:pStyle w:val="Heading3"/>
        <w:spacing w:after="80" w:before="200"/>
      </w:pPr>
      <w:r>
        <w:rPr>
          <w:b/>
          <w:bCs/>
          <w:color w:val="B2542C"/>
          <w:sz w:val="24"/>
          <w:szCs w:val="24"/>
        </w:rPr>
        <w:t xml:space="preserve">The Decision Tree — drafted</w:t>
      </w:r>
    </w:p>
    <w:p>
      <w:pPr>
        <w:spacing w:after="120"/>
      </w:pPr>
      <w:r>
        <w:rPr>
          <w:sz w:val="22"/>
          <w:szCs w:val="22"/>
        </w:rPr>
        <w:t xml:space="preserve">Build as interactive HTML if possible. Static SVG is the fallback. Each terminal pathway points to a model from Section 11 and example cities.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620"/>
        <w:gridCol w:w="1620"/>
        <w:gridCol w:w="2160"/>
        <w:gridCol w:w="1800"/>
      </w:tblGrid>
      <w:tr>
        <w:trPr>
          <w:tblHeader/>
        </w:trPr>
        <w:tc>
          <w:tcPr>
            <w:tcW w:type="dxa" w:w="2160"/>
            <w:tcBorders>
              <w:top w:val="single" w:color="C9C2B6" w:sz="4"/>
              <w:left w:val="single" w:color="C9C2B6" w:sz="4"/>
              <w:bottom w:val="single" w:color="C9C2B6" w:sz="4"/>
              <w:right w:val="single" w:color="C9C2B6" w:sz="4"/>
            </w:tcBorders>
            <w:shd w:fill="1B3A4B" w:val="clear"/>
            <w:tcMar>
              <w:top w:type="dxa" w:w="80"/>
              <w:left w:type="dxa" w:w="120"/>
              <w:bottom w:type="dxa" w:w="80"/>
              <w:right w:type="dxa" w:w="120"/>
            </w:tcMar>
          </w:tcPr>
          <w:p>
            <w:r>
              <w:rPr>
                <w:b/>
                <w:bCs/>
                <w:color w:val="FFFFFF"/>
                <w:sz w:val="18"/>
                <w:szCs w:val="18"/>
              </w:rPr>
              <w:t xml:space="preserve">Q1: Gap profile</w:t>
            </w:r>
          </w:p>
        </w:tc>
        <w:tc>
          <w:tcPr>
            <w:tcW w:type="dxa" w:w="1620"/>
            <w:tcBorders>
              <w:top w:val="single" w:color="C9C2B6" w:sz="4"/>
              <w:left w:val="single" w:color="C9C2B6" w:sz="4"/>
              <w:bottom w:val="single" w:color="C9C2B6" w:sz="4"/>
              <w:right w:val="single" w:color="C9C2B6" w:sz="4"/>
            </w:tcBorders>
            <w:shd w:fill="1B3A4B" w:val="clear"/>
            <w:tcMar>
              <w:top w:type="dxa" w:w="80"/>
              <w:left w:type="dxa" w:w="120"/>
              <w:bottom w:type="dxa" w:w="80"/>
              <w:right w:type="dxa" w:w="120"/>
            </w:tcMar>
          </w:tcPr>
          <w:p>
            <w:r>
              <w:rPr>
                <w:b/>
                <w:bCs/>
                <w:color w:val="FFFFFF"/>
                <w:sz w:val="18"/>
                <w:szCs w:val="18"/>
              </w:rPr>
              <w:t xml:space="preserve">Q2: Legal authority?</w:t>
            </w:r>
          </w:p>
        </w:tc>
        <w:tc>
          <w:tcPr>
            <w:tcW w:type="dxa" w:w="1620"/>
            <w:tcBorders>
              <w:top w:val="single" w:color="C9C2B6" w:sz="4"/>
              <w:left w:val="single" w:color="C9C2B6" w:sz="4"/>
              <w:bottom w:val="single" w:color="C9C2B6" w:sz="4"/>
              <w:right w:val="single" w:color="C9C2B6" w:sz="4"/>
            </w:tcBorders>
            <w:shd w:fill="1B3A4B" w:val="clear"/>
            <w:tcMar>
              <w:top w:type="dxa" w:w="80"/>
              <w:left w:type="dxa" w:w="120"/>
              <w:bottom w:type="dxa" w:w="80"/>
              <w:right w:type="dxa" w:w="120"/>
            </w:tcMar>
          </w:tcPr>
          <w:p>
            <w:r>
              <w:rPr>
                <w:b/>
                <w:bCs/>
                <w:color w:val="FFFFFF"/>
                <w:sz w:val="18"/>
                <w:szCs w:val="18"/>
              </w:rPr>
              <w:t xml:space="preserve">Q3: Council or ballot?</w:t>
            </w:r>
          </w:p>
        </w:tc>
        <w:tc>
          <w:tcPr>
            <w:tcW w:type="dxa" w:w="2160"/>
            <w:tcBorders>
              <w:top w:val="single" w:color="C9C2B6" w:sz="4"/>
              <w:left w:val="single" w:color="C9C2B6" w:sz="4"/>
              <w:bottom w:val="single" w:color="C9C2B6" w:sz="4"/>
              <w:right w:val="single" w:color="C9C2B6" w:sz="4"/>
            </w:tcBorders>
            <w:shd w:fill="1B3A4B" w:val="clear"/>
            <w:tcMar>
              <w:top w:type="dxa" w:w="80"/>
              <w:left w:type="dxa" w:w="120"/>
              <w:bottom w:type="dxa" w:w="80"/>
              <w:right w:type="dxa" w:w="120"/>
            </w:tcMar>
          </w:tcPr>
          <w:p>
            <w:r>
              <w:rPr>
                <w:b/>
                <w:bCs/>
                <w:color w:val="FFFFFF"/>
                <w:sz w:val="18"/>
                <w:szCs w:val="18"/>
              </w:rPr>
              <w:t xml:space="preserve">→ Recommended pathway</w:t>
            </w:r>
          </w:p>
        </w:tc>
        <w:tc>
          <w:tcPr>
            <w:tcW w:type="dxa" w:w="1800"/>
            <w:tcBorders>
              <w:top w:val="single" w:color="C9C2B6" w:sz="4"/>
              <w:left w:val="single" w:color="C9C2B6" w:sz="4"/>
              <w:bottom w:val="single" w:color="C9C2B6" w:sz="4"/>
              <w:right w:val="single" w:color="C9C2B6" w:sz="4"/>
            </w:tcBorders>
            <w:shd w:fill="1B3A4B" w:val="clear"/>
            <w:tcMar>
              <w:top w:type="dxa" w:w="80"/>
              <w:left w:type="dxa" w:w="120"/>
              <w:bottom w:type="dxa" w:w="80"/>
              <w:right w:type="dxa" w:w="120"/>
            </w:tcMar>
          </w:tcPr>
          <w:p>
            <w:r>
              <w:rPr>
                <w:b/>
                <w:bCs/>
                <w:color w:val="FFFFFF"/>
                <w:sz w:val="18"/>
                <w:szCs w:val="18"/>
              </w:rPr>
              <w:t xml:space="preserve">Look at</w:t>
            </w:r>
          </w:p>
        </w:tc>
      </w:tr>
      <w:tr>
        <w:trPr>
          <w:tblHeader w:val="false"/>
        </w:trPr>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Older cores</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Yes (most states)</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Council willing</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bCs/>
                <w:color w:val="B2542C"/>
                <w:sz w:val="18"/>
                <w:szCs w:val="18"/>
              </w:rPr>
              <w:t xml:space="preserve">Public Ownership or Utility Fee</w:t>
            </w:r>
          </w:p>
        </w:tc>
        <w:tc>
          <w:tcPr>
            <w:tcW w:type="dxa" w:w="180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Boston; Westminster CO</w:t>
            </w:r>
          </w:p>
        </w:tc>
      </w:tr>
      <w:tr>
        <w:trPr>
          <w:tblHeader w:val="false"/>
        </w:trPr>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Older cores</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Yes</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Need ballot</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bCs/>
                <w:color w:val="B2542C"/>
                <w:sz w:val="18"/>
                <w:szCs w:val="18"/>
              </w:rPr>
              <w:t xml:space="preserve">Dedicated Annual Fee or Millage</w:t>
            </w:r>
          </w:p>
        </w:tc>
        <w:tc>
          <w:tcPr>
            <w:tcW w:type="dxa" w:w="180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Denver; Ann Arbor MI</w:t>
            </w:r>
          </w:p>
        </w:tc>
      </w:tr>
      <w:tr>
        <w:trPr>
          <w:tblHeader w:val="false"/>
        </w:trPr>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Older cores</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California-style limits</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Either path</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bCs/>
                <w:color w:val="B2542C"/>
                <w:sz w:val="18"/>
                <w:szCs w:val="18"/>
              </w:rPr>
              <w:t xml:space="preserve">Parcel Tax</w:t>
            </w:r>
          </w:p>
        </w:tc>
        <w:tc>
          <w:tcPr>
            <w:tcW w:type="dxa" w:w="180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Berkeley CA Measure FF</w:t>
            </w:r>
          </w:p>
        </w:tc>
      </w:tr>
      <w:tr>
        <w:trPr>
          <w:tblHeader w:val="false"/>
        </w:trPr>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Car-era peripheries</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Yes</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Council willing</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bCs/>
                <w:color w:val="B2542C"/>
                <w:sz w:val="18"/>
                <w:szCs w:val="18"/>
              </w:rPr>
              <w:t xml:space="preserve">Public Ownership + interim walkway program</w:t>
            </w:r>
          </w:p>
        </w:tc>
        <w:tc>
          <w:tcPr>
            <w:tcW w:type="dxa" w:w="180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Boston + Seattle walkway</w:t>
            </w:r>
          </w:p>
        </w:tc>
      </w:tr>
      <w:tr>
        <w:trPr>
          <w:tblHeader w:val="false"/>
        </w:trPr>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Car-era peripheries</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Yes</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Need ballot</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bCs/>
                <w:color w:val="B2542C"/>
                <w:sz w:val="18"/>
                <w:szCs w:val="18"/>
              </w:rPr>
              <w:t xml:space="preserve">Dedicated Annual Fee + interim walkway program</w:t>
            </w:r>
          </w:p>
        </w:tc>
        <w:tc>
          <w:tcPr>
            <w:tcW w:type="dxa" w:w="180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Denver + Seattle walkway</w:t>
            </w:r>
          </w:p>
        </w:tc>
      </w:tr>
      <w:tr>
        <w:trPr>
          <w:tblHeader w:val="false"/>
        </w:trPr>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Both, dispersed</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Yes</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Council willing</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bCs/>
                <w:color w:val="B2542C"/>
                <w:sz w:val="18"/>
                <w:szCs w:val="18"/>
              </w:rPr>
              <w:t xml:space="preserve">Improvement District + Utility Fee combination</w:t>
            </w:r>
          </w:p>
        </w:tc>
        <w:tc>
          <w:tcPr>
            <w:tcW w:type="dxa" w:w="180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Ithaca NY + Westminster CO</w:t>
            </w:r>
          </w:p>
        </w:tc>
      </w:tr>
      <w:tr>
        <w:trPr>
          <w:tblHeader w:val="false"/>
        </w:trPr>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Both, dispersed</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Yes</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Need ballot</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bCs/>
                <w:color w:val="B2542C"/>
                <w:sz w:val="18"/>
                <w:szCs w:val="18"/>
              </w:rPr>
              <w:t xml:space="preserve">Dedicated Annual Fee (the Denver model)</w:t>
            </w:r>
          </w:p>
        </w:tc>
        <w:tc>
          <w:tcPr>
            <w:tcW w:type="dxa" w:w="180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Denver</w:t>
            </w:r>
          </w:p>
        </w:tc>
      </w:tr>
      <w:tr>
        <w:trPr>
          <w:tblHeader w:val="false"/>
        </w:trPr>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Both, dispersed</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California-style limits</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Either path</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bCs/>
                <w:color w:val="B2542C"/>
                <w:sz w:val="18"/>
                <w:szCs w:val="18"/>
              </w:rPr>
              <w:t xml:space="preserve">Parcel Tax + Improvement District</w:t>
            </w:r>
          </w:p>
        </w:tc>
        <w:tc>
          <w:tcPr>
            <w:tcW w:type="dxa" w:w="180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Berkeley + Ithaca</w:t>
            </w:r>
          </w:p>
        </w:tc>
      </w:tr>
      <w:tr>
        <w:trPr>
          <w:tblHeader w:val="false"/>
        </w:trPr>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Operational only (legal frame OK)</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Either path</w:t>
            </w:r>
          </w:p>
        </w:tc>
        <w:tc>
          <w:tcPr>
            <w:tcW w:type="dxa" w:w="162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Council willing</w:t>
            </w:r>
          </w:p>
        </w:tc>
        <w:tc>
          <w:tcPr>
            <w:tcW w:type="dxa" w:w="216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bCs/>
                <w:color w:val="B2542C"/>
                <w:sz w:val="18"/>
                <w:szCs w:val="18"/>
              </w:rPr>
              <w:t xml:space="preserve">Inspection-and-Bill</w:t>
            </w:r>
          </w:p>
        </w:tc>
        <w:tc>
          <w:tcPr>
            <w:tcW w:type="dxa" w:w="1800"/>
            <w:tcBorders>
              <w:top w:val="single" w:color="C9C2B6" w:sz="4"/>
              <w:left w:val="single" w:color="C9C2B6" w:sz="4"/>
              <w:bottom w:val="single" w:color="C9C2B6" w:sz="4"/>
              <w:right w:val="single" w:color="C9C2B6" w:sz="4"/>
            </w:tcBorders>
            <w:shd w:fill="FFFFFF" w:val="clear"/>
            <w:tcMar>
              <w:top w:type="dxa" w:w="80"/>
              <w:left w:type="dxa" w:w="120"/>
              <w:bottom w:type="dxa" w:w="80"/>
              <w:right w:type="dxa" w:w="120"/>
            </w:tcMar>
          </w:tcPr>
          <w:p>
            <w:r>
              <w:rPr>
                <w:b w:val="false"/>
                <w:bCs w:val="false"/>
                <w:color w:val="000000"/>
                <w:sz w:val="18"/>
                <w:szCs w:val="18"/>
              </w:rPr>
              <w:t xml:space="preserve">Minneapolis MN</w:t>
            </w:r>
          </w:p>
        </w:tc>
      </w:tr>
    </w:tbl>
    <w:p>
      <w:pPr>
        <w:spacing w:after="120"/>
      </w:pPr>
      <w:r>
        <w:t xml:space="preserve"/>
      </w:r>
    </w:p>
    <w:p>
      <w:pPr>
        <w:pStyle w:val="Heading3"/>
        <w:spacing w:after="80" w:before="200"/>
      </w:pPr>
      <w:r>
        <w:rPr>
          <w:b/>
          <w:bCs/>
          <w:color w:val="B2542C"/>
          <w:sz w:val="24"/>
          <w:szCs w:val="24"/>
        </w:rPr>
        <w:t xml:space="preserve">On-Screen — closing</w:t>
      </w:r>
    </w:p>
    <w:p>
      <w:pPr>
        <w:pBdr>
          <w:left w:val="single" w:color="2D6A4F" w:sz="12" w:space="8"/>
        </w:pBdr>
        <w:spacing w:after="120"/>
        <w:ind w:left="360"/>
      </w:pPr>
      <w:r>
        <w:rPr>
          <w:b/>
          <w:bCs/>
          <w:color w:val="2D6A4F"/>
          <w:sz w:val="18"/>
          <w:szCs w:val="18"/>
        </w:rPr>
        <w:t xml:space="preserve">PASTE  </w:t>
      </w:r>
      <w:r>
        <w:rPr>
          <w:sz w:val="22"/>
          <w:szCs w:val="22"/>
        </w:rPr>
        <w:t xml:space="preserve">Reform doesn't require luck. It requires diagnosis, the right pathway for the diagnosis, and the political conditions your city actually has — not the ones you wish it had.</w:t>
      </w:r>
    </w:p>
    <w:p>
      <w:pPr>
        <w:pBdr>
          <w:left w:val="single" w:color="2D6A4F" w:sz="12" w:space="8"/>
        </w:pBdr>
        <w:spacing w:after="120"/>
        <w:ind w:left="360"/>
      </w:pPr>
      <w:r>
        <w:rPr>
          <w:b/>
          <w:bCs/>
          <w:color w:val="2D6A4F"/>
          <w:sz w:val="18"/>
          <w:szCs w:val="18"/>
        </w:rPr>
        <w:t xml:space="preserve">PASTE  </w:t>
      </w:r>
      <w:r>
        <w:rPr>
          <w:sz w:val="22"/>
          <w:szCs w:val="22"/>
        </w:rPr>
        <w:t xml:space="preserve">Every city in this guide started in roughly the same place: a network shaped by decisions made decades ago and a funding model that was never going to close the gap on its own. The cities that escaped started with the same three questions you just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 SECTION 12</w:t>
            </w:r>
          </w:p>
          <w:p>
            <w:pPr>
              <w:spacing w:after="40"/>
            </w:pPr>
            <w:r>
              <w:rPr>
                <w:color w:val="5C5C5C"/>
                <w:sz w:val="20"/>
                <w:szCs w:val="20"/>
              </w:rPr>
              <w:t xml:space="preserve">Block: Sidecar. 4 slides — one per question, one for the tree.</w:t>
            </w:r>
          </w:p>
          <w:p>
            <w:pPr>
              <w:spacing w:after="40"/>
            </w:pPr>
            <w:r>
              <w:rPr>
                <w:color w:val="5C5C5C"/>
                <w:sz w:val="20"/>
                <w:szCs w:val="20"/>
              </w:rPr>
              <w:t xml:space="preserve">Decision tree: build as interactive HTML using D3 or Mermaid. Embed via Story Maps' Embed block.</w:t>
            </w:r>
          </w:p>
          <w:p>
            <w:pPr>
              <w:spacing w:after="40"/>
            </w:pPr>
            <w:r>
              <w:rPr>
                <w:color w:val="5C5C5C"/>
                <w:sz w:val="20"/>
                <w:szCs w:val="20"/>
              </w:rPr>
              <w:t xml:space="preserve">  Each terminal leaf is clickable, links to the relevant model in Section 11.</w:t>
            </w:r>
          </w:p>
          <w:p>
            <w:pPr>
              <w:spacing w:after="40"/>
            </w:pPr>
            <w:r>
              <w:rPr>
                <w:color w:val="5C5C5C"/>
                <w:sz w:val="20"/>
                <w:szCs w:val="20"/>
              </w:rPr>
              <w:t xml:space="preserve">Static fallback: high-resolution SVG (2x display) with the table above as the data structure.</w:t>
            </w:r>
          </w:p>
          <w:p>
            <w:pPr>
              <w:spacing w:after="40"/>
            </w:pPr>
            <w:r>
              <w:rPr>
                <w:color w:val="5C5C5C"/>
                <w:sz w:val="20"/>
                <w:szCs w:val="20"/>
              </w:rPr>
              <w:t xml:space="preserve">  Include text alternative for screen readers.</w:t>
            </w:r>
          </w:p>
          <w:p>
            <w:pPr>
              <w:spacing w:after="40"/>
            </w:pPr>
            <w:r>
              <w:rPr>
                <w:color w:val="5C5C5C"/>
                <w:sz w:val="20"/>
                <w:szCs w:val="20"/>
              </w:rPr>
              <w:t xml:space="preserve">This is the single highest-engagement artifact in the entire Story Map.</w:t>
            </w:r>
          </w:p>
          <w:p>
            <w:pPr>
              <w:spacing w:after="40"/>
            </w:pPr>
            <w:r>
              <w:rPr>
                <w:color w:val="5C5C5C"/>
                <w:sz w:val="20"/>
                <w:szCs w:val="20"/>
              </w:rPr>
              <w:t xml:space="preserve">  Practitioners will bookmark it, share it, screenshot it. Build it well or don't build it interactive at all.</w:t>
            </w:r>
          </w:p>
        </w:tc>
      </w:tr>
    </w:tbl>
    <w:p>
      <w:pPr>
        <w:pBdr>
          <w:top w:val="single" w:color="1B3A4B" w:sz="16" w:space="8"/>
        </w:pBdr>
        <w:spacing w:after="120" w:before="240"/>
      </w:pPr>
      <w:r>
        <w:t xml:space="preserve"/>
      </w:r>
    </w:p>
    <w:p>
      <w:pPr>
        <w:spacing w:after="60"/>
      </w:pPr>
      <w:r>
        <w:rPr>
          <w:b/>
          <w:bCs/>
          <w:color w:val="B2542C"/>
          <w:sz w:val="22"/>
          <w:szCs w:val="22"/>
        </w:rPr>
        <w:t xml:space="preserve">SECTION 13  </w:t>
      </w:r>
      <w:r>
        <w:rPr>
          <w:color w:val="5C5C5C"/>
          <w:sz w:val="20"/>
          <w:szCs w:val="20"/>
        </w:rPr>
        <w:t xml:space="preserve">· Text Block — closing  ·  </w:t>
      </w:r>
      <w:r>
        <w:rPr>
          <w:i/>
          <w:iCs/>
          <w:color w:val="1B3A4B"/>
          <w:sz w:val="20"/>
          <w:szCs w:val="20"/>
        </w:rPr>
        <w:t xml:space="preserve">Hand the reader to the report and the data.</w:t>
      </w:r>
    </w:p>
    <w:p>
      <w:pPr>
        <w:pStyle w:val="Heading1"/>
        <w:spacing w:after="240"/>
      </w:pPr>
      <w:r>
        <w:rPr>
          <w:b/>
          <w:bCs/>
          <w:color w:val="1B3A4B"/>
          <w:sz w:val="40"/>
          <w:szCs w:val="40"/>
        </w:rPr>
        <w:t xml:space="preserve">Resources &amp; Credits</w:t>
      </w:r>
    </w:p>
    <w:p>
      <w:pPr>
        <w:pStyle w:val="Heading3"/>
        <w:spacing w:after="80" w:before="200"/>
      </w:pPr>
      <w:r>
        <w:rPr>
          <w:b/>
          <w:bCs/>
          <w:color w:val="B2542C"/>
          <w:sz w:val="24"/>
          <w:szCs w:val="24"/>
        </w:rPr>
        <w:t xml:space="preserve">The Full Report</w:t>
      </w:r>
    </w:p>
    <w:p>
      <w:pPr>
        <w:pBdr>
          <w:left w:val="single" w:color="2D6A4F" w:sz="12" w:space="8"/>
        </w:pBdr>
        <w:spacing w:after="120"/>
        <w:ind w:left="360"/>
      </w:pPr>
      <w:r>
        <w:rPr>
          <w:b/>
          <w:bCs/>
          <w:color w:val="2D6A4F"/>
          <w:sz w:val="18"/>
          <w:szCs w:val="18"/>
        </w:rPr>
        <w:t xml:space="preserve">PASTE  </w:t>
      </w:r>
      <w:r>
        <w:rPr>
          <w:sz w:val="22"/>
          <w:szCs w:val="22"/>
        </w:rPr>
        <w:t xml:space="preserve">This Story Map is the public face of a longer capstone report: Mind the Gap: Lessons from Denver to Rebuild Your Sidewalk Network, produced for Fehr &amp; Peers in partnership with the University of Colorado Denver MURP program. The report contains the full methodology, the comparative spatial analysis of Denver, Seattle, and Minneapolis, the historical research on Denver's reform trajectory, and the citations behind every figure on this page.</w:t>
      </w:r>
    </w:p>
    <w:p>
      <w:pPr>
        <w:pBdr>
          <w:left w:val="single" w:color="2D6A4F" w:sz="12" w:space="8"/>
        </w:pBdr>
        <w:spacing w:after="120"/>
        <w:ind w:left="360"/>
      </w:pPr>
      <w:r>
        <w:rPr>
          <w:b/>
          <w:bCs/>
          <w:color w:val="2D6A4F"/>
          <w:sz w:val="18"/>
          <w:szCs w:val="18"/>
        </w:rPr>
        <w:t xml:space="preserve">PASTE  </w:t>
      </w:r>
      <w:r>
        <w:rPr>
          <w:sz w:val="22"/>
          <w:szCs w:val="22"/>
        </w:rPr>
        <w:t xml:space="preserve">[Download the full report — PDF]</w:t>
      </w:r>
    </w:p>
    <w:p>
      <w:pPr>
        <w:pStyle w:val="Heading3"/>
        <w:spacing w:after="80" w:before="200"/>
      </w:pPr>
      <w:r>
        <w:rPr>
          <w:b/>
          <w:bCs/>
          <w:color w:val="B2542C"/>
          <w:sz w:val="24"/>
          <w:szCs w:val="24"/>
        </w:rPr>
        <w:t xml:space="preserve">Authors</w:t>
      </w:r>
    </w:p>
    <w:p>
      <w:pPr>
        <w:pBdr>
          <w:left w:val="single" w:color="2D6A4F" w:sz="12" w:space="8"/>
        </w:pBdr>
        <w:spacing w:after="120"/>
        <w:ind w:left="360"/>
      </w:pPr>
      <w:r>
        <w:rPr>
          <w:b/>
          <w:bCs/>
          <w:color w:val="2D6A4F"/>
          <w:sz w:val="18"/>
          <w:szCs w:val="18"/>
        </w:rPr>
        <w:t xml:space="preserve">PASTE  </w:t>
      </w:r>
      <w:r>
        <w:rPr>
          <w:sz w:val="22"/>
          <w:szCs w:val="22"/>
        </w:rPr>
        <w:t xml:space="preserve">Taylor Lucas and Robert Sells, MURP candidates, University of Colorado Denver College of Architecture and Planning.</w:t>
      </w:r>
    </w:p>
    <w:p>
      <w:pPr>
        <w:pStyle w:val="Heading3"/>
        <w:spacing w:after="80" w:before="200"/>
      </w:pPr>
      <w:r>
        <w:rPr>
          <w:b/>
          <w:bCs/>
          <w:color w:val="B2542C"/>
          <w:sz w:val="24"/>
          <w:szCs w:val="24"/>
        </w:rPr>
        <w:t xml:space="preserve">Client</w:t>
      </w:r>
    </w:p>
    <w:p>
      <w:pPr>
        <w:pBdr>
          <w:left w:val="single" w:color="2D6A4F" w:sz="12" w:space="8"/>
        </w:pBdr>
        <w:spacing w:after="120"/>
        <w:ind w:left="360"/>
      </w:pPr>
      <w:r>
        <w:rPr>
          <w:b/>
          <w:bCs/>
          <w:color w:val="2D6A4F"/>
          <w:sz w:val="18"/>
          <w:szCs w:val="18"/>
        </w:rPr>
        <w:t xml:space="preserve">PASTE  </w:t>
      </w:r>
      <w:r>
        <w:rPr>
          <w:sz w:val="22"/>
          <w:szCs w:val="22"/>
        </w:rPr>
        <w:t xml:space="preserve">Fehr &amp; Peers.</w:t>
      </w:r>
    </w:p>
    <w:p>
      <w:pPr>
        <w:pStyle w:val="Heading3"/>
        <w:spacing w:after="80" w:before="200"/>
      </w:pPr>
      <w:r>
        <w:rPr>
          <w:b/>
          <w:bCs/>
          <w:color w:val="B2542C"/>
          <w:sz w:val="24"/>
          <w:szCs w:val="24"/>
        </w:rPr>
        <w:t xml:space="preserve">Acknowledgments</w:t>
      </w:r>
    </w:p>
    <w:p>
      <w:pPr>
        <w:pBdr>
          <w:left w:val="single" w:color="2D6A4F" w:sz="12" w:space="8"/>
        </w:pBdr>
        <w:spacing w:after="120"/>
        <w:ind w:left="360"/>
      </w:pPr>
      <w:r>
        <w:rPr>
          <w:b/>
          <w:bCs/>
          <w:color w:val="2D6A4F"/>
          <w:sz w:val="18"/>
          <w:szCs w:val="18"/>
        </w:rPr>
        <w:t xml:space="preserve">PASTE  </w:t>
      </w:r>
      <w:r>
        <w:rPr>
          <w:sz w:val="22"/>
          <w:szCs w:val="22"/>
        </w:rPr>
        <w:t xml:space="preserve">This work would not exist without the practitioners who shared their time and expertise: subject matter experts at the City and County of Denver's Department of Transportation &amp; Infrastructure, Seattle DOT, and Minneapolis Public Works. Particular thanks to the Denver Deserves Sidewalks campaign and to advocates at WalkDenver and Mile High Connects.</w:t>
      </w:r>
    </w:p>
    <w:p>
      <w:pPr>
        <w:pStyle w:val="Heading3"/>
        <w:spacing w:after="80" w:before="200"/>
      </w:pPr>
      <w:r>
        <w:rPr>
          <w:b/>
          <w:bCs/>
          <w:color w:val="B2542C"/>
          <w:sz w:val="24"/>
          <w:szCs w:val="24"/>
        </w:rPr>
        <w:t xml:space="preserve">Data &amp; Sources</w:t>
      </w:r>
    </w:p>
    <w:p>
      <w:pPr>
        <w:pStyle w:val="ListParagraph"/>
        <w:numPr>
          <w:ilvl w:val="0"/>
          <w:numId w:val="2"/>
        </w:numPr>
        <w:spacing w:after="60"/>
      </w:pPr>
      <w:r>
        <w:rPr>
          <w:sz w:val="22"/>
          <w:szCs w:val="22"/>
        </w:rPr>
        <w:t xml:space="preserve">Denver sidewalk network: City and County of Denver Open Data Portal.</w:t>
      </w:r>
    </w:p>
    <w:p>
      <w:pPr>
        <w:pStyle w:val="ListParagraph"/>
        <w:numPr>
          <w:ilvl w:val="0"/>
          <w:numId w:val="2"/>
        </w:numPr>
        <w:spacing w:after="60"/>
      </w:pPr>
      <w:r>
        <w:rPr>
          <w:sz w:val="22"/>
          <w:szCs w:val="22"/>
        </w:rPr>
        <w:t xml:space="preserve">Seattle and Minneapolis sidewalk networks: City of Seattle Open Data Portal; Minneapolis Open Data Portal.</w:t>
      </w:r>
    </w:p>
    <w:p>
      <w:pPr>
        <w:pStyle w:val="ListParagraph"/>
        <w:numPr>
          <w:ilvl w:val="0"/>
          <w:numId w:val="2"/>
        </w:numPr>
        <w:spacing w:after="60"/>
      </w:pPr>
      <w:r>
        <w:rPr>
          <w:sz w:val="22"/>
          <w:szCs w:val="22"/>
        </w:rPr>
        <w:t xml:space="preserve">Historical Denver municipal codes: Denver Public Library Western History Collection (1878, 1881, 1884, 1886, 1906, 1917, 1927, 1951, 1978 charters).</w:t>
      </w:r>
    </w:p>
    <w:p>
      <w:pPr>
        <w:pStyle w:val="ListParagraph"/>
        <w:numPr>
          <w:ilvl w:val="0"/>
          <w:numId w:val="2"/>
        </w:numPr>
        <w:spacing w:after="60"/>
      </w:pPr>
      <w:r>
        <w:rPr>
          <w:sz w:val="22"/>
          <w:szCs w:val="22"/>
        </w:rPr>
        <w:t xml:space="preserve">Sidewalk completion analysis: Denver Moves: Pedestrians and Trails (2017 Existing Conditions; 2019 final plan).</w:t>
      </w:r>
    </w:p>
    <w:p>
      <w:pPr>
        <w:pStyle w:val="ListParagraph"/>
        <w:numPr>
          <w:ilvl w:val="0"/>
          <w:numId w:val="2"/>
        </w:numPr>
        <w:spacing w:after="60"/>
      </w:pPr>
      <w:r>
        <w:rPr>
          <w:sz w:val="22"/>
          <w:szCs w:val="22"/>
        </w:rPr>
        <w:t xml:space="preserve">Audit findings: Denver Auditor's Office, Neighborhood Sidewalk Repair Program audit (November 2020).</w:t>
      </w:r>
    </w:p>
    <w:p>
      <w:pPr>
        <w:pStyle w:val="ListParagraph"/>
        <w:numPr>
          <w:ilvl w:val="0"/>
          <w:numId w:val="2"/>
        </w:numPr>
        <w:spacing w:after="60"/>
      </w:pPr>
      <w:r>
        <w:rPr>
          <w:sz w:val="22"/>
          <w:szCs w:val="22"/>
        </w:rPr>
        <w:t xml:space="preserve">Governance typology: 2019 Denver City Council Legislative Services research; Municipal Sidewalk Funding Structures dataset (this project).</w:t>
      </w:r>
    </w:p>
    <w:p>
      <w:pPr>
        <w:pStyle w:val="ListParagraph"/>
        <w:numPr>
          <w:ilvl w:val="0"/>
          <w:numId w:val="2"/>
        </w:numPr>
        <w:spacing w:after="60"/>
      </w:pPr>
      <w:r>
        <w:rPr>
          <w:sz w:val="22"/>
          <w:szCs w:val="22"/>
        </w:rPr>
        <w:t xml:space="preserve">Redlining overlay: Mapping Inequality, University of Richmond Digital Scholarship Lab.</w:t>
      </w:r>
    </w:p>
    <w:p>
      <w:pPr>
        <w:pStyle w:val="ListParagraph"/>
        <w:numPr>
          <w:ilvl w:val="0"/>
          <w:numId w:val="2"/>
        </w:numPr>
        <w:spacing w:after="60"/>
      </w:pPr>
      <w:r>
        <w:rPr>
          <w:sz w:val="22"/>
          <w:szCs w:val="22"/>
        </w:rPr>
        <w:t xml:space="preserve">Historic streetcar networks: city historical archives and transit-history secondary sources (per capstone Chapter 3).</w:t>
      </w:r>
    </w:p>
    <w:p>
      <w:pPr>
        <w:pStyle w:val="Heading3"/>
        <w:spacing w:after="80" w:before="200"/>
      </w:pPr>
      <w:r>
        <w:rPr>
          <w:b/>
          <w:bCs/>
          <w:color w:val="B2542C"/>
          <w:sz w:val="24"/>
          <w:szCs w:val="24"/>
        </w:rPr>
        <w:t xml:space="preserve">Suggested Citation</w:t>
      </w:r>
    </w:p>
    <w:p>
      <w:pPr>
        <w:pBdr>
          <w:left w:val="single" w:color="2D6A4F" w:sz="12" w:space="8"/>
        </w:pBdr>
        <w:spacing w:after="120"/>
        <w:ind w:left="360"/>
      </w:pPr>
      <w:r>
        <w:rPr>
          <w:b/>
          <w:bCs/>
          <w:color w:val="2D6A4F"/>
          <w:sz w:val="18"/>
          <w:szCs w:val="18"/>
        </w:rPr>
        <w:t xml:space="preserve">PASTE  </w:t>
      </w:r>
      <w:r>
        <w:rPr>
          <w:sz w:val="22"/>
          <w:szCs w:val="22"/>
        </w:rPr>
        <w:t xml:space="preserve">Lucas, T., &amp; Sells, R. (2026). Mind the Gap: Lessons from Denver to Rebuild Your Sidewalk Network. MURP Capstone, University of Colorado Denver.</w:t>
      </w:r>
    </w:p>
    <w:p>
      <w:pPr>
        <w:pStyle w:val="Heading3"/>
        <w:spacing w:after="80" w:before="200"/>
      </w:pPr>
      <w:r>
        <w:rPr>
          <w:b/>
          <w:bCs/>
          <w:color w:val="B2542C"/>
          <w:sz w:val="24"/>
          <w:szCs w:val="24"/>
        </w:rPr>
        <w:t xml:space="preserve">Methods Note</w:t>
      </w:r>
    </w:p>
    <w:p>
      <w:pPr>
        <w:spacing w:after="120"/>
      </w:pPr>
      <w:r>
        <w:rPr>
          <w:sz w:val="22"/>
          <w:szCs w:val="22"/>
        </w:rPr>
        <w:t xml:space="preserve">A brief methods footnote should appear at the bottom of this section linking to a fuller methods appendix in the report. Cover: how the era classification was applied to parcels; how the HOLC overlay was joined to current sidewalk status; how the historic streetcar buffer was constructed; how the governance model database was assembled and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542C" w:sz="4"/>
              <w:left w:val="single" w:color="B2542C" w:sz="12"/>
              <w:bottom w:val="single" w:color="B2542C" w:sz="4"/>
              <w:right w:val="single" w:color="B2542C" w:sz="4"/>
            </w:tcBorders>
            <w:shd w:fill="EDE6DA" w:val="clear"/>
            <w:tcMar>
              <w:top w:type="dxa" w:w="160"/>
              <w:left w:type="dxa" w:w="200"/>
              <w:bottom w:type="dxa" w:w="160"/>
              <w:right w:type="dxa" w:w="200"/>
            </w:tcMar>
          </w:tcPr>
          <w:p>
            <w:pPr>
              <w:spacing w:after="80"/>
            </w:pPr>
            <w:r>
              <w:rPr>
                <w:b/>
                <w:bCs/>
                <w:color w:val="1B3A4B"/>
                <w:sz w:val="20"/>
                <w:szCs w:val="20"/>
              </w:rPr>
              <w:t xml:space="preserve">BUILD — SECTION 13</w:t>
            </w:r>
          </w:p>
          <w:p>
            <w:pPr>
              <w:spacing w:after="40"/>
            </w:pPr>
            <w:r>
              <w:rPr>
                <w:color w:val="5C5C5C"/>
                <w:sz w:val="20"/>
                <w:szCs w:val="20"/>
              </w:rPr>
              <w:t xml:space="preserve">Block: Text + simple two-column layout for credits.</w:t>
            </w:r>
          </w:p>
          <w:p>
            <w:pPr>
              <w:spacing w:after="40"/>
            </w:pPr>
            <w:r>
              <w:rPr>
                <w:color w:val="5C5C5C"/>
                <w:sz w:val="20"/>
                <w:szCs w:val="20"/>
              </w:rPr>
              <w:t xml:space="preserve">Add a clear, prominent 'Download the full report' button.</w:t>
            </w:r>
          </w:p>
          <w:p>
            <w:pPr>
              <w:spacing w:after="40"/>
            </w:pPr>
            <w:r>
              <w:rPr>
                <w:color w:val="5C5C5C"/>
                <w:sz w:val="20"/>
                <w:szCs w:val="20"/>
              </w:rPr>
              <w:t xml:space="preserve">Embed contact info or a feedback link.</w:t>
            </w:r>
          </w:p>
          <w:p>
            <w:pPr>
              <w:spacing w:after="40"/>
            </w:pPr>
            <w:r>
              <w:rPr>
                <w:color w:val="5C5C5C"/>
                <w:sz w:val="20"/>
                <w:szCs w:val="20"/>
              </w:rPr>
              <w:t xml:space="preserve">Verify ArcGIS Story Maps' auto-generated citation footer matches your suggested citation.</w:t>
            </w:r>
          </w:p>
        </w:tc>
      </w:tr>
    </w:tbl>
    <w:p>
      <w:r>
        <w:br w:type="page"/>
      </w:r>
    </w:p>
    <w:p>
      <w:pPr>
        <w:pStyle w:val="Heading1"/>
        <w:spacing w:after="160" w:before="360"/>
      </w:pPr>
      <w:r>
        <w:rPr>
          <w:b/>
          <w:bCs/>
          <w:color w:val="1B3A4B"/>
          <w:sz w:val="36"/>
          <w:szCs w:val="36"/>
        </w:rPr>
        <w:t xml:space="preserve">Appendix A — Design System</w:t>
      </w:r>
    </w:p>
    <w:p>
      <w:pPr>
        <w:spacing w:after="120"/>
      </w:pPr>
      <w:r>
        <w:rPr>
          <w:sz w:val="22"/>
          <w:szCs w:val="22"/>
        </w:rPr>
        <w:t xml:space="preserve">Apply this system across every section. Consistency separates a good Story Map from one that feels like a slide deck.</w:t>
      </w:r>
    </w:p>
    <w:p>
      <w:pPr>
        <w:pStyle w:val="Heading2"/>
        <w:spacing w:after="120" w:before="280"/>
      </w:pPr>
      <w:r>
        <w:rPr>
          <w:b/>
          <w:bCs/>
          <w:color w:val="1B3A4B"/>
          <w:sz w:val="28"/>
          <w:szCs w:val="28"/>
        </w:rPr>
        <w:t xml:space="preserve">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Role</w:t>
            </w:r>
          </w:p>
        </w:tc>
        <w:tc>
          <w:tcPr>
            <w:tcW w:type="dxa" w:w="234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Name</w:t>
            </w:r>
          </w:p>
        </w:tc>
        <w:tc>
          <w:tcPr>
            <w:tcW w:type="dxa" w:w="234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Hex</w:t>
            </w:r>
          </w:p>
        </w:tc>
        <w:tc>
          <w:tcPr>
            <w:tcW w:type="dxa" w:w="234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Usage</w:t>
            </w:r>
          </w:p>
        </w:tc>
      </w:tr>
      <w:tr>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20"/>
                <w:szCs w:val="20"/>
              </w:rPr>
              <w:t xml:space="preserve">Primary</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20"/>
                <w:szCs w:val="20"/>
              </w:rPr>
              <w:t xml:space="preserve">Denver Navy</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20"/>
                <w:szCs w:val="20"/>
              </w:rPr>
              <w:t xml:space="preserve">#1B3A4B</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20"/>
                <w:szCs w:val="20"/>
              </w:rPr>
              <w:t xml:space="preserve">Headlines, navy fills, public-good column</w:t>
            </w:r>
          </w:p>
        </w:tc>
      </w:tr>
      <w:tr>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20"/>
                <w:szCs w:val="20"/>
              </w:rPr>
              <w:t xml:space="preserve">Accent</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20"/>
                <w:szCs w:val="20"/>
              </w:rPr>
              <w:t xml:space="preserve">Brick Rust</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20"/>
                <w:szCs w:val="20"/>
              </w:rPr>
              <w:t xml:space="preserve">#B2542C</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20"/>
                <w:szCs w:val="20"/>
              </w:rPr>
              <w:t xml:space="preserve">Denver-specific moments, the 'missing' state</w:t>
            </w:r>
          </w:p>
        </w:tc>
      </w:tr>
      <w:tr>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20"/>
                <w:szCs w:val="20"/>
              </w:rPr>
              <w:t xml:space="preserve">Warning</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20"/>
                <w:szCs w:val="20"/>
              </w:rPr>
              <w:t xml:space="preserve">Amber</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20"/>
                <w:szCs w:val="20"/>
              </w:rPr>
              <w:t xml:space="preserve">#D89A4E</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20"/>
                <w:szCs w:val="20"/>
              </w:rPr>
              <w:t xml:space="preserve">Deficient/narrow sidewalks; mid-state</w:t>
            </w:r>
          </w:p>
        </w:tc>
      </w:tr>
      <w:tr>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20"/>
                <w:szCs w:val="20"/>
              </w:rPr>
              <w:t xml:space="preserve">Neutral</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20"/>
                <w:szCs w:val="20"/>
              </w:rPr>
              <w:t xml:space="preserve">Sage</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20"/>
                <w:szCs w:val="20"/>
              </w:rPr>
              <w:t xml:space="preserve">#B6BFB1</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20"/>
                <w:szCs w:val="20"/>
              </w:rPr>
              <w:t xml:space="preserve">Existing/sufficient sidewalks; calm areas</w:t>
            </w:r>
          </w:p>
        </w:tc>
      </w:tr>
      <w:tr>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20"/>
                <w:szCs w:val="20"/>
              </w:rPr>
              <w:t xml:space="preserve">Bg Light</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20"/>
                <w:szCs w:val="20"/>
              </w:rPr>
              <w:t xml:space="preserve">Bone</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20"/>
                <w:szCs w:val="20"/>
              </w:rPr>
              <w:t xml:space="preserve">#EDE6DA</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20"/>
                <w:szCs w:val="20"/>
              </w:rPr>
              <w:t xml:space="preserve">Light Sidecar backgrounds, callouts</w:t>
            </w:r>
          </w:p>
        </w:tc>
      </w:tr>
      <w:tr>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20"/>
                <w:szCs w:val="20"/>
              </w:rPr>
              <w:t xml:space="preserve">Confirm</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sz w:val="20"/>
                <w:szCs w:val="20"/>
              </w:rPr>
              <w:t xml:space="preserve">Forest Green</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20"/>
                <w:szCs w:val="20"/>
              </w:rPr>
              <w:t xml:space="preserve">#2D6A4F</w:t>
            </w:r>
          </w:p>
        </w:tc>
        <w:tc>
          <w:tcPr>
            <w:tcW w:type="dxa" w:w="234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sz w:val="20"/>
                <w:szCs w:val="20"/>
              </w:rPr>
              <w:t xml:space="preserve">Verdict line in field guide; confirmation states</w:t>
            </w:r>
          </w:p>
        </w:tc>
      </w:tr>
    </w:tbl>
    <w:p>
      <w:pPr>
        <w:pStyle w:val="Heading2"/>
        <w:spacing w:after="120" w:before="280"/>
      </w:pPr>
      <w:r>
        <w:rPr>
          <w:b/>
          <w:bCs/>
          <w:color w:val="1B3A4B"/>
          <w:sz w:val="28"/>
          <w:szCs w:val="28"/>
        </w:rPr>
        <w:t xml:space="preserve">Typography</w:t>
      </w:r>
    </w:p>
    <w:p>
      <w:pPr>
        <w:pStyle w:val="ListParagraph"/>
        <w:numPr>
          <w:ilvl w:val="0"/>
          <w:numId w:val="2"/>
        </w:numPr>
        <w:spacing w:after="60"/>
      </w:pPr>
      <w:r>
        <w:rPr>
          <w:sz w:val="22"/>
          <w:szCs w:val="22"/>
        </w:rPr>
        <w:t xml:space="preserve">Display / Headlines: Aptos Display (Bold for emphasis).</w:t>
      </w:r>
    </w:p>
    <w:p>
      <w:pPr>
        <w:pStyle w:val="ListParagraph"/>
        <w:numPr>
          <w:ilvl w:val="0"/>
          <w:numId w:val="2"/>
        </w:numPr>
        <w:spacing w:after="60"/>
      </w:pPr>
      <w:r>
        <w:rPr>
          <w:sz w:val="22"/>
          <w:szCs w:val="22"/>
        </w:rPr>
        <w:t xml:space="preserve">Body: Aptos Regular, 18–20px equivalent.</w:t>
      </w:r>
    </w:p>
    <w:p>
      <w:pPr>
        <w:pStyle w:val="ListParagraph"/>
        <w:numPr>
          <w:ilvl w:val="0"/>
          <w:numId w:val="2"/>
        </w:numPr>
        <w:spacing w:after="60"/>
      </w:pPr>
      <w:r>
        <w:rPr>
          <w:sz w:val="22"/>
          <w:szCs w:val="22"/>
        </w:rPr>
        <w:t xml:space="preserve">Captions and pull-quotes: Aptos Italic.</w:t>
      </w:r>
    </w:p>
    <w:p>
      <w:pPr>
        <w:pStyle w:val="ListParagraph"/>
        <w:numPr>
          <w:ilvl w:val="0"/>
          <w:numId w:val="2"/>
        </w:numPr>
        <w:spacing w:after="60"/>
      </w:pPr>
      <w:r>
        <w:rPr>
          <w:sz w:val="22"/>
          <w:szCs w:val="22"/>
        </w:rPr>
        <w:t xml:space="preserve">DO NOT use Play anywhere. It's the artifact of an earlier Google Docs conversion and renders inconsistently across browsers.</w:t>
      </w:r>
    </w:p>
    <w:p>
      <w:pPr>
        <w:pStyle w:val="Heading2"/>
        <w:spacing w:after="120" w:before="280"/>
      </w:pPr>
      <w:r>
        <w:rPr>
          <w:b/>
          <w:bCs/>
          <w:color w:val="1B3A4B"/>
          <w:sz w:val="28"/>
          <w:szCs w:val="28"/>
        </w:rPr>
        <w:t xml:space="preserve">Map Style</w:t>
      </w:r>
    </w:p>
    <w:p>
      <w:pPr>
        <w:pStyle w:val="ListParagraph"/>
        <w:numPr>
          <w:ilvl w:val="0"/>
          <w:numId w:val="2"/>
        </w:numPr>
        <w:spacing w:after="60"/>
      </w:pPr>
      <w:r>
        <w:rPr>
          <w:sz w:val="22"/>
          <w:szCs w:val="22"/>
        </w:rPr>
        <w:t xml:space="preserve">Basemap: ArcGIS Light Gray Canvas for all city maps.</w:t>
      </w:r>
    </w:p>
    <w:p>
      <w:pPr>
        <w:pStyle w:val="ListParagraph"/>
        <w:numPr>
          <w:ilvl w:val="0"/>
          <w:numId w:val="2"/>
        </w:numPr>
        <w:spacing w:after="60"/>
      </w:pPr>
      <w:r>
        <w:rPr>
          <w:sz w:val="22"/>
          <w:szCs w:val="22"/>
        </w:rPr>
        <w:t xml:space="preserve">Sidewalk centerline: 2px sufficient (sage), 2px deficient (amber), 3px missing (rust).</w:t>
      </w:r>
    </w:p>
    <w:p>
      <w:pPr>
        <w:pStyle w:val="ListParagraph"/>
        <w:numPr>
          <w:ilvl w:val="0"/>
          <w:numId w:val="2"/>
        </w:numPr>
        <w:spacing w:after="60"/>
      </w:pPr>
      <w:r>
        <w:rPr>
          <w:sz w:val="22"/>
          <w:szCs w:val="22"/>
        </w:rPr>
        <w:t xml:space="preserve">Annotation: minimum 12pt. Never rely on a popup for the primary insight.</w:t>
      </w:r>
    </w:p>
    <w:p>
      <w:pPr>
        <w:pStyle w:val="ListParagraph"/>
        <w:numPr>
          <w:ilvl w:val="0"/>
          <w:numId w:val="2"/>
        </w:numPr>
        <w:spacing w:after="60"/>
      </w:pPr>
      <w:r>
        <w:rPr>
          <w:sz w:val="22"/>
          <w:szCs w:val="22"/>
        </w:rPr>
        <w:t xml:space="preserve">Always include a 1-line legend baked directly onto each slide.</w:t>
      </w:r>
    </w:p>
    <w:p>
      <w:pPr>
        <w:pStyle w:val="Heading2"/>
        <w:spacing w:after="120" w:before="280"/>
      </w:pPr>
      <w:r>
        <w:rPr>
          <w:b/>
          <w:bCs/>
          <w:color w:val="1B3A4B"/>
          <w:sz w:val="28"/>
          <w:szCs w:val="28"/>
        </w:rPr>
        <w:t xml:space="preserve">Mobile</w:t>
      </w:r>
    </w:p>
    <w:p>
      <w:pPr>
        <w:pStyle w:val="ListParagraph"/>
        <w:numPr>
          <w:ilvl w:val="0"/>
          <w:numId w:val="2"/>
        </w:numPr>
        <w:spacing w:after="60"/>
      </w:pPr>
      <w:r>
        <w:rPr>
          <w:sz w:val="22"/>
          <w:szCs w:val="22"/>
        </w:rPr>
        <w:t xml:space="preserve">Test every section at 375px wide before publishing.</w:t>
      </w:r>
    </w:p>
    <w:p>
      <w:pPr>
        <w:pStyle w:val="ListParagraph"/>
        <w:numPr>
          <w:ilvl w:val="0"/>
          <w:numId w:val="2"/>
        </w:numPr>
        <w:spacing w:after="60"/>
      </w:pPr>
      <w:r>
        <w:rPr>
          <w:sz w:val="22"/>
          <w:szCs w:val="22"/>
        </w:rPr>
        <w:t xml:space="preserve">Swipe blocks degrade to stacked maps on mobile. Both must be usable standalone.</w:t>
      </w:r>
    </w:p>
    <w:p>
      <w:pPr>
        <w:pStyle w:val="ListParagraph"/>
        <w:numPr>
          <w:ilvl w:val="0"/>
          <w:numId w:val="2"/>
        </w:numPr>
        <w:spacing w:after="60"/>
      </w:pPr>
      <w:r>
        <w:rPr>
          <w:sz w:val="22"/>
          <w:szCs w:val="22"/>
        </w:rPr>
        <w:t xml:space="preserve">Sidecar slides: text doesn't crowd the map.</w:t>
      </w:r>
    </w:p>
    <w:p>
      <w:pPr>
        <w:pStyle w:val="ListParagraph"/>
        <w:numPr>
          <w:ilvl w:val="0"/>
          <w:numId w:val="2"/>
        </w:numPr>
        <w:spacing w:after="60"/>
      </w:pPr>
      <w:r>
        <w:rPr>
          <w:sz w:val="22"/>
          <w:szCs w:val="22"/>
        </w:rPr>
        <w:t xml:space="preserve">Section 11's nine slides are at the edge of mobile-comfortable scroll length. If user testing shows drop-off, consolidate models per build notes.</w:t>
      </w:r>
    </w:p>
    <w:p>
      <w:pPr>
        <w:pStyle w:val="ListParagraph"/>
        <w:numPr>
          <w:ilvl w:val="0"/>
          <w:numId w:val="2"/>
        </w:numPr>
        <w:spacing w:after="60"/>
      </w:pPr>
      <w:r>
        <w:rPr>
          <w:sz w:val="22"/>
          <w:szCs w:val="22"/>
        </w:rPr>
        <w:t xml:space="preserve">Section 12's decision tree must work on mobile or ship static.</w:t>
      </w:r>
    </w:p>
    <w:p>
      <w:pPr>
        <w:pStyle w:val="Heading2"/>
        <w:spacing w:after="120" w:before="280"/>
      </w:pPr>
      <w:r>
        <w:rPr>
          <w:b/>
          <w:bCs/>
          <w:color w:val="1B3A4B"/>
          <w:sz w:val="28"/>
          <w:szCs w:val="28"/>
        </w:rPr>
        <w:t xml:space="preserve">Accessibility</w:t>
      </w:r>
    </w:p>
    <w:p>
      <w:pPr>
        <w:pStyle w:val="ListParagraph"/>
        <w:numPr>
          <w:ilvl w:val="0"/>
          <w:numId w:val="2"/>
        </w:numPr>
        <w:spacing w:after="60"/>
      </w:pPr>
      <w:r>
        <w:rPr>
          <w:sz w:val="22"/>
          <w:szCs w:val="22"/>
        </w:rPr>
        <w:t xml:space="preserve">Every image has alt text — Story Maps has a dedicated field, use it.</w:t>
      </w:r>
    </w:p>
    <w:p>
      <w:pPr>
        <w:pStyle w:val="ListParagraph"/>
        <w:numPr>
          <w:ilvl w:val="0"/>
          <w:numId w:val="2"/>
        </w:numPr>
        <w:spacing w:after="60"/>
      </w:pPr>
      <w:r>
        <w:rPr>
          <w:sz w:val="22"/>
          <w:szCs w:val="22"/>
        </w:rPr>
        <w:t xml:space="preserve">Every map has a text caption that conveys the same insight as the visual.</w:t>
      </w:r>
    </w:p>
    <w:p>
      <w:pPr>
        <w:pStyle w:val="ListParagraph"/>
        <w:numPr>
          <w:ilvl w:val="0"/>
          <w:numId w:val="2"/>
        </w:numPr>
        <w:spacing w:after="60"/>
      </w:pPr>
      <w:r>
        <w:rPr>
          <w:sz w:val="22"/>
          <w:szCs w:val="22"/>
        </w:rPr>
        <w:t xml:space="preserve">Color is never the only encoding.</w:t>
      </w:r>
    </w:p>
    <w:p>
      <w:pPr>
        <w:pStyle w:val="ListParagraph"/>
        <w:numPr>
          <w:ilvl w:val="0"/>
          <w:numId w:val="2"/>
        </w:numPr>
        <w:spacing w:after="60"/>
      </w:pPr>
      <w:r>
        <w:rPr>
          <w:sz w:val="22"/>
          <w:szCs w:val="22"/>
        </w:rPr>
        <w:t xml:space="preserve">Body text contrast 4.5:1 minimum. WebAIM checker on navy/bone before publication.</w:t>
      </w:r>
    </w:p>
    <w:p>
      <w:pPr>
        <w:pStyle w:val="ListParagraph"/>
        <w:numPr>
          <w:ilvl w:val="0"/>
          <w:numId w:val="2"/>
        </w:numPr>
        <w:spacing w:after="60"/>
      </w:pPr>
      <w:r>
        <w:rPr>
          <w:sz w:val="22"/>
          <w:szCs w:val="22"/>
        </w:rPr>
        <w:t xml:space="preserve">Decision tree must be keyboard-navigable; provide text alternative.</w:t>
      </w:r>
    </w:p>
    <w:p>
      <w:r>
        <w:br w:type="page"/>
      </w:r>
    </w:p>
    <w:p>
      <w:pPr>
        <w:pStyle w:val="Heading1"/>
        <w:spacing w:after="160" w:before="360"/>
      </w:pPr>
      <w:r>
        <w:rPr>
          <w:b/>
          <w:bCs/>
          <w:color w:val="1B3A4B"/>
          <w:sz w:val="36"/>
          <w:szCs w:val="36"/>
        </w:rPr>
        <w:t xml:space="preserve">Appendix B — Production Checklist</w:t>
      </w:r>
    </w:p>
    <w:p>
      <w:pPr>
        <w:pStyle w:val="Heading2"/>
        <w:spacing w:after="120" w:before="280"/>
      </w:pPr>
      <w:r>
        <w:rPr>
          <w:b/>
          <w:bCs/>
          <w:color w:val="1B3A4B"/>
          <w:sz w:val="28"/>
          <w:szCs w:val="28"/>
        </w:rPr>
        <w:t xml:space="preserve">Web Maps Built and Saved</w:t>
      </w:r>
    </w:p>
    <w:p>
      <w:pPr>
        <w:pStyle w:val="ListParagraph"/>
        <w:numPr>
          <w:ilvl w:val="0"/>
          <w:numId w:val="2"/>
        </w:numPr>
        <w:spacing w:after="60"/>
      </w:pPr>
      <w:r>
        <w:rPr>
          <w:sz w:val="22"/>
          <w:szCs w:val="22"/>
        </w:rPr>
        <w:t xml:space="preserve">Denver_Sidewalk_Network_Status_2025 (Sections 3, 7, 10)</w:t>
      </w:r>
    </w:p>
    <w:p>
      <w:pPr>
        <w:pStyle w:val="ListParagraph"/>
        <w:numPr>
          <w:ilvl w:val="0"/>
          <w:numId w:val="2"/>
        </w:numPr>
        <w:spacing w:after="60"/>
      </w:pPr>
      <w:r>
        <w:rPr>
          <w:sz w:val="22"/>
          <w:szCs w:val="22"/>
        </w:rPr>
        <w:t xml:space="preserve">Denver_Era_x_Gaps (Section 4)</w:t>
      </w:r>
    </w:p>
    <w:p>
      <w:pPr>
        <w:pStyle w:val="ListParagraph"/>
        <w:numPr>
          <w:ilvl w:val="0"/>
          <w:numId w:val="2"/>
        </w:numPr>
        <w:spacing w:after="60"/>
      </w:pPr>
      <w:r>
        <w:rPr>
          <w:sz w:val="22"/>
          <w:szCs w:val="22"/>
        </w:rPr>
        <w:t xml:space="preserve">Denver_HOLC_x_Gaps (Section 5)</w:t>
      </w:r>
    </w:p>
    <w:p>
      <w:pPr>
        <w:pStyle w:val="ListParagraph"/>
        <w:numPr>
          <w:ilvl w:val="0"/>
          <w:numId w:val="2"/>
        </w:numPr>
        <w:spacing w:after="60"/>
      </w:pPr>
      <w:r>
        <w:rPr>
          <w:sz w:val="22"/>
          <w:szCs w:val="22"/>
        </w:rPr>
        <w:t xml:space="preserve">Seattle_HOLC_x_Gaps_with_Ungraded (Section 5)</w:t>
      </w:r>
    </w:p>
    <w:p>
      <w:pPr>
        <w:pStyle w:val="ListParagraph"/>
        <w:numPr>
          <w:ilvl w:val="0"/>
          <w:numId w:val="2"/>
        </w:numPr>
        <w:spacing w:after="60"/>
      </w:pPr>
      <w:r>
        <w:rPr>
          <w:sz w:val="22"/>
          <w:szCs w:val="22"/>
        </w:rPr>
        <w:t xml:space="preserve">Denver_Streetcar_x_Gaps (Section 5)</w:t>
      </w:r>
    </w:p>
    <w:p>
      <w:pPr>
        <w:pStyle w:val="ListParagraph"/>
        <w:numPr>
          <w:ilvl w:val="0"/>
          <w:numId w:val="2"/>
        </w:numPr>
        <w:spacing w:after="60"/>
      </w:pPr>
      <w:r>
        <w:rPr>
          <w:sz w:val="22"/>
          <w:szCs w:val="22"/>
        </w:rPr>
        <w:t xml:space="preserve">Denver_1880s_Sidewalks_Reconstructed (Sections 6, 7)</w:t>
      </w:r>
    </w:p>
    <w:p>
      <w:pPr>
        <w:pStyle w:val="ListParagraph"/>
        <w:numPr>
          <w:ilvl w:val="0"/>
          <w:numId w:val="2"/>
        </w:numPr>
        <w:spacing w:after="60"/>
      </w:pPr>
      <w:r>
        <w:rPr>
          <w:sz w:val="22"/>
          <w:szCs w:val="22"/>
        </w:rPr>
        <w:t xml:space="preserve">Denver_SIP_Districts (Section 10)</w:t>
      </w:r>
    </w:p>
    <w:p>
      <w:pPr>
        <w:pStyle w:val="ListParagraph"/>
        <w:numPr>
          <w:ilvl w:val="0"/>
          <w:numId w:val="2"/>
        </w:numPr>
        <w:spacing w:after="60"/>
      </w:pPr>
      <w:r>
        <w:rPr>
          <w:sz w:val="22"/>
          <w:szCs w:val="22"/>
        </w:rPr>
        <w:t xml:space="preserve">US_Sidewalk_Governance_Models (Section 11; one variant per model)</w:t>
      </w:r>
    </w:p>
    <w:p>
      <w:pPr>
        <w:pStyle w:val="Heading2"/>
        <w:spacing w:after="120" w:before="280"/>
      </w:pPr>
      <w:r>
        <w:rPr>
          <w:b/>
          <w:bCs/>
          <w:color w:val="1B3A4B"/>
          <w:sz w:val="28"/>
          <w:szCs w:val="28"/>
        </w:rPr>
        <w:t xml:space="preserve">Layer Discipline</w:t>
      </w:r>
    </w:p>
    <w:p>
      <w:pPr>
        <w:pStyle w:val="ListParagraph"/>
        <w:numPr>
          <w:ilvl w:val="0"/>
          <w:numId w:val="2"/>
        </w:numPr>
        <w:spacing w:after="60"/>
      </w:pPr>
      <w:r>
        <w:rPr>
          <w:sz w:val="22"/>
          <w:szCs w:val="22"/>
        </w:rPr>
        <w:t xml:space="preserve">Every layer has a meaningful name.</w:t>
      </w:r>
    </w:p>
    <w:p>
      <w:pPr>
        <w:pStyle w:val="ListParagraph"/>
        <w:numPr>
          <w:ilvl w:val="0"/>
          <w:numId w:val="2"/>
        </w:numPr>
        <w:spacing w:after="60"/>
      </w:pPr>
      <w:r>
        <w:rPr>
          <w:sz w:val="22"/>
          <w:szCs w:val="22"/>
        </w:rPr>
        <w:t xml:space="preserve">Every layer has a populated description and source field.</w:t>
      </w:r>
    </w:p>
    <w:p>
      <w:pPr>
        <w:pStyle w:val="ListParagraph"/>
        <w:numPr>
          <w:ilvl w:val="0"/>
          <w:numId w:val="2"/>
        </w:numPr>
        <w:spacing w:after="60"/>
      </w:pPr>
      <w:r>
        <w:rPr>
          <w:sz w:val="22"/>
          <w:szCs w:val="22"/>
        </w:rPr>
        <w:t xml:space="preserve">Every layer's symbology matches the design system color ramp.</w:t>
      </w:r>
    </w:p>
    <w:p>
      <w:pPr>
        <w:pStyle w:val="ListParagraph"/>
        <w:numPr>
          <w:ilvl w:val="0"/>
          <w:numId w:val="2"/>
        </w:numPr>
        <w:spacing w:after="60"/>
      </w:pPr>
      <w:r>
        <w:rPr>
          <w:sz w:val="22"/>
          <w:szCs w:val="22"/>
        </w:rPr>
        <w:t xml:space="preserve">Every web map has a default extent that frames the relevant geography.</w:t>
      </w:r>
    </w:p>
    <w:p>
      <w:pPr>
        <w:pStyle w:val="Heading2"/>
        <w:spacing w:after="120" w:before="280"/>
      </w:pPr>
      <w:r>
        <w:rPr>
          <w:b/>
          <w:bCs/>
          <w:color w:val="1B3A4B"/>
          <w:sz w:val="28"/>
          <w:szCs w:val="28"/>
        </w:rPr>
        <w:t xml:space="preserve">Story Map Discipline</w:t>
      </w:r>
    </w:p>
    <w:p>
      <w:pPr>
        <w:pStyle w:val="ListParagraph"/>
        <w:numPr>
          <w:ilvl w:val="0"/>
          <w:numId w:val="2"/>
        </w:numPr>
        <w:spacing w:after="60"/>
      </w:pPr>
      <w:r>
        <w:rPr>
          <w:sz w:val="22"/>
          <w:szCs w:val="22"/>
        </w:rPr>
        <w:t xml:space="preserve">Cover image is sized for retina (2x) displays.</w:t>
      </w:r>
    </w:p>
    <w:p>
      <w:pPr>
        <w:pStyle w:val="ListParagraph"/>
        <w:numPr>
          <w:ilvl w:val="0"/>
          <w:numId w:val="2"/>
        </w:numPr>
        <w:spacing w:after="60"/>
      </w:pPr>
      <w:r>
        <w:rPr>
          <w:sz w:val="22"/>
          <w:szCs w:val="22"/>
        </w:rPr>
        <w:t xml:space="preserve">Navigation tiles all link to correct sections.</w:t>
      </w:r>
    </w:p>
    <w:p>
      <w:pPr>
        <w:pStyle w:val="ListParagraph"/>
        <w:numPr>
          <w:ilvl w:val="0"/>
          <w:numId w:val="2"/>
        </w:numPr>
        <w:spacing w:after="60"/>
      </w:pPr>
      <w:r>
        <w:rPr>
          <w:sz w:val="22"/>
          <w:szCs w:val="22"/>
        </w:rPr>
        <w:t xml:space="preserve">All Sidecar panels read in under 90 seconds at average reading speed.</w:t>
      </w:r>
    </w:p>
    <w:p>
      <w:pPr>
        <w:pStyle w:val="ListParagraph"/>
        <w:numPr>
          <w:ilvl w:val="0"/>
          <w:numId w:val="2"/>
        </w:numPr>
        <w:spacing w:after="60"/>
      </w:pPr>
      <w:r>
        <w:rPr>
          <w:sz w:val="22"/>
          <w:szCs w:val="22"/>
        </w:rPr>
        <w:t xml:space="preserve">All Swipe blocks have aligned extents.</w:t>
      </w:r>
    </w:p>
    <w:p>
      <w:pPr>
        <w:pStyle w:val="ListParagraph"/>
        <w:numPr>
          <w:ilvl w:val="0"/>
          <w:numId w:val="2"/>
        </w:numPr>
        <w:spacing w:after="60"/>
      </w:pPr>
      <w:r>
        <w:rPr>
          <w:sz w:val="22"/>
          <w:szCs w:val="22"/>
        </w:rPr>
        <w:t xml:space="preserve">Timeline entries are in correct chronological order with no missing dates.</w:t>
      </w:r>
    </w:p>
    <w:p>
      <w:pPr>
        <w:pStyle w:val="ListParagraph"/>
        <w:numPr>
          <w:ilvl w:val="0"/>
          <w:numId w:val="2"/>
        </w:numPr>
        <w:spacing w:after="60"/>
      </w:pPr>
      <w:r>
        <w:rPr>
          <w:sz w:val="22"/>
          <w:szCs w:val="22"/>
        </w:rPr>
        <w:t xml:space="preserve">Every ⚠ VERIFY flag in this guide has been resolved against the underlying source.</w:t>
      </w:r>
    </w:p>
    <w:p>
      <w:pPr>
        <w:pStyle w:val="ListParagraph"/>
        <w:numPr>
          <w:ilvl w:val="0"/>
          <w:numId w:val="2"/>
        </w:numPr>
        <w:spacing w:after="60"/>
      </w:pPr>
      <w:r>
        <w:rPr>
          <w:sz w:val="22"/>
          <w:szCs w:val="22"/>
        </w:rPr>
        <w:t xml:space="preserve">Every figure traces back to a capstone chapter and section.</w:t>
      </w:r>
    </w:p>
    <w:p>
      <w:pPr>
        <w:pStyle w:val="ListParagraph"/>
        <w:numPr>
          <w:ilvl w:val="0"/>
          <w:numId w:val="2"/>
        </w:numPr>
        <w:spacing w:after="60"/>
      </w:pPr>
      <w:r>
        <w:rPr>
          <w:sz w:val="22"/>
          <w:szCs w:val="22"/>
        </w:rPr>
        <w:t xml:space="preserve">Citation footer auto-generated by ArcGIS is verified.</w:t>
      </w:r>
    </w:p>
    <w:p>
      <w:pPr>
        <w:pStyle w:val="ListParagraph"/>
        <w:numPr>
          <w:ilvl w:val="0"/>
          <w:numId w:val="2"/>
        </w:numPr>
        <w:spacing w:after="60"/>
      </w:pPr>
      <w:r>
        <w:rPr>
          <w:sz w:val="22"/>
          <w:szCs w:val="22"/>
        </w:rPr>
        <w:t xml:space="preserve">Sharing settings: Everyone (public), not Organization, before client review.</w:t>
      </w:r>
    </w:p>
    <w:p>
      <w:pPr>
        <w:pStyle w:val="Heading2"/>
        <w:spacing w:after="120" w:before="280"/>
      </w:pPr>
      <w:r>
        <w:rPr>
          <w:b/>
          <w:bCs/>
          <w:color w:val="1B3A4B"/>
          <w:sz w:val="28"/>
          <w:szCs w:val="28"/>
        </w:rPr>
        <w:t xml:space="preserve">Pre-Publication Review</w:t>
      </w:r>
    </w:p>
    <w:p>
      <w:pPr>
        <w:pStyle w:val="ListParagraph"/>
        <w:numPr>
          <w:ilvl w:val="0"/>
          <w:numId w:val="2"/>
        </w:numPr>
        <w:spacing w:after="60"/>
      </w:pPr>
      <w:r>
        <w:rPr>
          <w:sz w:val="22"/>
          <w:szCs w:val="22"/>
        </w:rPr>
        <w:t xml:space="preserve">Read every word aloud. Cut anything you stumble on.</w:t>
      </w:r>
    </w:p>
    <w:p>
      <w:pPr>
        <w:pStyle w:val="ListParagraph"/>
        <w:numPr>
          <w:ilvl w:val="0"/>
          <w:numId w:val="2"/>
        </w:numPr>
        <w:spacing w:after="60"/>
      </w:pPr>
      <w:r>
        <w:rPr>
          <w:sz w:val="22"/>
          <w:szCs w:val="22"/>
        </w:rPr>
        <w:t xml:space="preserve">Have one person who has never seen the report read it cold and tell you what they remember an hour later. The thing they remember is your headline — make sure it's the right one.</w:t>
      </w:r>
    </w:p>
    <w:p>
      <w:pPr>
        <w:pStyle w:val="ListParagraph"/>
        <w:numPr>
          <w:ilvl w:val="0"/>
          <w:numId w:val="2"/>
        </w:numPr>
        <w:spacing w:after="60"/>
      </w:pPr>
      <w:r>
        <w:rPr>
          <w:sz w:val="22"/>
          <w:szCs w:val="22"/>
        </w:rPr>
        <w:t xml:space="preserve">Test on three browsers (Chrome, Safari, Firefox) and on iOS and Android.</w:t>
      </w:r>
    </w:p>
    <w:p>
      <w:pPr>
        <w:pStyle w:val="ListParagraph"/>
        <w:numPr>
          <w:ilvl w:val="0"/>
          <w:numId w:val="2"/>
        </w:numPr>
        <w:spacing w:after="60"/>
      </w:pPr>
      <w:r>
        <w:rPr>
          <w:sz w:val="22"/>
          <w:szCs w:val="22"/>
        </w:rPr>
        <w:t xml:space="preserve">Have Fehr &amp; Peers' designer or comms lead review for brand fit.</w:t>
      </w:r>
    </w:p>
    <w:p>
      <w:pPr>
        <w:pStyle w:val="ListParagraph"/>
        <w:numPr>
          <w:ilvl w:val="0"/>
          <w:numId w:val="2"/>
        </w:numPr>
        <w:spacing w:after="60"/>
      </w:pPr>
      <w:r>
        <w:rPr>
          <w:sz w:val="22"/>
          <w:szCs w:val="22"/>
        </w:rPr>
        <w:t xml:space="preserve">Final spell-check pass.</w:t>
      </w:r>
    </w:p>
    <w:p>
      <w:pPr>
        <w:pStyle w:val="Heading2"/>
        <w:spacing w:after="120" w:before="280"/>
      </w:pPr>
      <w:r>
        <w:rPr>
          <w:b/>
          <w:bCs/>
          <w:color w:val="1B3A4B"/>
          <w:sz w:val="28"/>
          <w:szCs w:val="28"/>
        </w:rPr>
        <w:t xml:space="preserve">Launch Plan</w:t>
      </w:r>
    </w:p>
    <w:p>
      <w:pPr>
        <w:pStyle w:val="ListParagraph"/>
        <w:numPr>
          <w:ilvl w:val="0"/>
          <w:numId w:val="2"/>
        </w:numPr>
        <w:spacing w:after="60"/>
      </w:pPr>
      <w:r>
        <w:rPr>
          <w:sz w:val="22"/>
          <w:szCs w:val="22"/>
        </w:rPr>
        <w:t xml:space="preserve">Preview link to client at least one week before public publication.</w:t>
      </w:r>
    </w:p>
    <w:p>
      <w:pPr>
        <w:pStyle w:val="ListParagraph"/>
        <w:numPr>
          <w:ilvl w:val="0"/>
          <w:numId w:val="2"/>
        </w:numPr>
        <w:spacing w:after="60"/>
      </w:pPr>
      <w:r>
        <w:rPr>
          <w:sz w:val="22"/>
          <w:szCs w:val="22"/>
        </w:rPr>
        <w:t xml:space="preserve">Coordinate with capstone open house and client communications.</w:t>
      </w:r>
    </w:p>
    <w:p>
      <w:pPr>
        <w:pStyle w:val="ListParagraph"/>
        <w:numPr>
          <w:ilvl w:val="0"/>
          <w:numId w:val="2"/>
        </w:numPr>
        <w:spacing w:after="60"/>
      </w:pPr>
      <w:r>
        <w:rPr>
          <w:sz w:val="22"/>
          <w:szCs w:val="22"/>
        </w:rPr>
        <w:t xml:space="preserve">Plan a one-page LinkedIn announcement.</w:t>
      </w:r>
    </w:p>
    <w:p>
      <w:pPr>
        <w:pStyle w:val="ListParagraph"/>
        <w:numPr>
          <w:ilvl w:val="0"/>
          <w:numId w:val="2"/>
        </w:numPr>
        <w:spacing w:after="60"/>
      </w:pPr>
      <w:r>
        <w:rPr>
          <w:sz w:val="22"/>
          <w:szCs w:val="22"/>
        </w:rPr>
        <w:t xml:space="preserve">Bookmark the URL — once published, it's permanent.</w:t>
      </w:r>
    </w:p>
    <w:p>
      <w:r>
        <w:br w:type="page"/>
      </w:r>
    </w:p>
    <w:p>
      <w:pPr>
        <w:pStyle w:val="Heading1"/>
        <w:spacing w:after="160" w:before="360"/>
      </w:pPr>
      <w:r>
        <w:rPr>
          <w:b/>
          <w:bCs/>
          <w:color w:val="1B3A4B"/>
          <w:sz w:val="36"/>
          <w:szCs w:val="36"/>
        </w:rPr>
        <w:t xml:space="preserve">Appendix C — Verify Queue</w:t>
      </w:r>
    </w:p>
    <w:p>
      <w:pPr>
        <w:spacing w:after="120"/>
      </w:pPr>
      <w:r>
        <w:rPr>
          <w:sz w:val="22"/>
          <w:szCs w:val="22"/>
        </w:rPr>
        <w:t xml:space="preserve">Every claim flagged with ⚠ VERIFY in the body of this guide is collected here for tracking. Items in red require active outreach or retrieval; items in black are confirmed against project files and need only a final read-through before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60"/>
        <w:gridCol w:w="2700"/>
        <w:gridCol w:w="2880"/>
      </w:tblGrid>
      <w:tr>
        <w:trPr>
          <w:tblHeader/>
        </w:trPr>
        <w:tc>
          <w:tcPr>
            <w:tcW w:type="dxa" w:w="72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w:t>
            </w:r>
          </w:p>
        </w:tc>
        <w:tc>
          <w:tcPr>
            <w:tcW w:type="dxa" w:w="306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Claim</w:t>
            </w:r>
          </w:p>
        </w:tc>
        <w:tc>
          <w:tcPr>
            <w:tcW w:type="dxa" w:w="270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Source</w:t>
            </w:r>
          </w:p>
        </w:tc>
        <w:tc>
          <w:tcPr>
            <w:tcW w:type="dxa" w:w="2880"/>
            <w:tcBorders>
              <w:top w:val="single" w:color="C9C2B6" w:sz="4"/>
              <w:left w:val="single" w:color="C9C2B6" w:sz="4"/>
              <w:bottom w:val="single" w:color="C9C2B6" w:sz="4"/>
              <w:right w:val="single" w:color="C9C2B6" w:sz="4"/>
            </w:tcBorders>
            <w:shd w:fill="1B3A4B" w:val="clear"/>
            <w:tcMar>
              <w:top w:type="dxa" w:w="100"/>
              <w:left w:type="dxa" w:w="120"/>
              <w:bottom w:type="dxa" w:w="100"/>
              <w:right w:type="dxa" w:w="120"/>
            </w:tcMar>
          </w:tcPr>
          <w:p>
            <w:r>
              <w:rPr>
                <w:b/>
                <w:bCs/>
                <w:color w:val="FFFFFF"/>
                <w:sz w:val="20"/>
                <w:szCs w:val="20"/>
              </w:rPr>
              <w:t xml:space="preserve">Status</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3</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Citywide percentages: 60/30/10</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DMPT 2017 / Capstone Chapter 4.1</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Confirmed</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3</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Walkshed proximity figures (transit, schools, etc.)</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Sidewalks DEN Story Map / Capstone 5.4</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Confirmed in capstone</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4</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Era × gap percentages (Denver 35%, Seattle 74%, Minneapolis 41%)</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Capstone Table 3</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Confirmed</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5</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HOLC C+D = 26% (Denver), A+B = 13% (Denver)</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Capstone Table 5</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Confirmed</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5</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Ungraded share (Denver 61%, Seattle 62%, Minneapolis 39%)</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Capstone Table 5</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Confirmed</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5</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Streetcar buffer (Denver 65%, Minneapolis 66%, Seattle 30%)</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Capstone Table 6</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Confirmed</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6</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60-day cite-and-lien provision in 1881 charter</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1881 Denver Charter (project files)</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8B0000"/>
                <w:sz w:val="18"/>
                <w:szCs w:val="18"/>
              </w:rPr>
              <w:t xml:space="preserve">NEEDS PAGE NUMBER</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6</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12ft commercial / 5ft residential 1881 width standards</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1881 Denver Charter (project files)</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8B0000"/>
                <w:sz w:val="18"/>
                <w:szCs w:val="18"/>
              </w:rPr>
              <w:t xml:space="preserve">NEEDS PAGE NUMBER</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8</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400-year completion estimate</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Capstone Section 5.2.1</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Confirmed (capstone uses 400-year framing)</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9</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~20,000 signatures, six-month timeline</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Project history doc + DDS materials</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8B0000"/>
                <w:sz w:val="18"/>
                <w:szCs w:val="18"/>
              </w:rPr>
              <w:t xml:space="preserve">VERIFY 6-month figure with DDS campaign</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10</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January 2025 fee start, 9-year master plan</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Capstone Section 5.2.2</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Confirmed in capstone; verify current SIP status with DOTI</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11</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Englewood 95% participation rate</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Capstone Section 5.3</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Confirmed in capstone</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11</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Berkeley Measure FF $15M annual / 14-year duration</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Capstone Section 5.3</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Confirmed in capstone</w:t>
            </w:r>
          </w:p>
        </w:tc>
      </w:tr>
      <w:tr>
        <w:tc>
          <w:tcPr>
            <w:tcW w:type="dxa" w:w="72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bCs/>
                <w:color w:val="000000"/>
                <w:sz w:val="18"/>
                <w:szCs w:val="18"/>
              </w:rPr>
              <w:t xml:space="preserve">11</w:t>
            </w:r>
          </w:p>
        </w:tc>
        <w:tc>
          <w:tcPr>
            <w:tcW w:type="dxa" w:w="306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Ann Arbor 0.125-mill levy approved 2011</w:t>
            </w:r>
          </w:p>
        </w:tc>
        <w:tc>
          <w:tcPr>
            <w:tcW w:type="dxa" w:w="270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Capstone Section 5.3</w:t>
            </w:r>
          </w:p>
        </w:tc>
        <w:tc>
          <w:tcPr>
            <w:tcW w:type="dxa" w:w="2880"/>
            <w:tcBorders>
              <w:top w:val="single" w:color="C9C2B6" w:sz="4"/>
              <w:left w:val="single" w:color="C9C2B6" w:sz="4"/>
              <w:bottom w:val="single" w:color="C9C2B6" w:sz="4"/>
              <w:right w:val="single" w:color="C9C2B6" w:sz="4"/>
            </w:tcBorders>
            <w:tcMar>
              <w:top w:type="dxa" w:w="80"/>
              <w:left w:type="dxa" w:w="120"/>
              <w:bottom w:type="dxa" w:w="80"/>
              <w:right w:type="dxa" w:w="120"/>
            </w:tcMar>
          </w:tcPr>
          <w:p>
            <w:r>
              <w:rPr>
                <w:b w:val="false"/>
                <w:bCs w:val="false"/>
                <w:color w:val="000000"/>
                <w:sz w:val="18"/>
                <w:szCs w:val="18"/>
              </w:rPr>
              <w:t xml:space="preserve">Confirmed in capstone</w:t>
            </w:r>
          </w:p>
        </w:tc>
      </w:tr>
    </w:tbl>
    <w:p>
      <w:pPr>
        <w:spacing w:after="120"/>
      </w:pPr>
      <w:r>
        <w:t xml:space="preserve"/>
      </w:r>
    </w:p>
    <w:p>
      <w:pPr>
        <w:spacing w:after="120"/>
      </w:pPr>
      <w:r>
        <w:rPr>
          <w:sz w:val="22"/>
          <w:szCs w:val="22"/>
        </w:rPr>
        <w:t xml:space="preserve">Items in red require active outreach (to DOTI, the SIP team, or Denver Deserves Sidewalks) or active retrieval (charter page numbers). Bundle the DOTI questions into a single email request rather than chasing one at a time. Items in black are confirmed against the capstone or project files.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C5C"/>
        <w:sz w:val="18"/>
        <w:szCs w:val="18"/>
      </w:rPr>
      <w:t xml:space="preserve">Page </w:t>
    </w:r>
    <w:r>
      <w:rPr>
        <w:color w:val="5C5C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C5C5C"/>
        <w:sz w:val="18"/>
        <w:szCs w:val="18"/>
      </w:rPr>
      <w:t xml:space="preserve">Mind the Gap  ·  Story Map Build Guide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ptos Display" w:cs="Aptos Display" w:eastAsia="Aptos Display" w:hAnsi="Aptos Display"/>
      <w:b/>
      <w:bCs/>
      <w:color w:val="1B3A4B"/>
      <w:sz w:val="36"/>
      <w:szCs w:val="36"/>
    </w:rPr>
  </w:style>
  <w:style w:type="paragraph" w:styleId="Heading2">
    <w:name w:val="Heading 2"/>
    <w:basedOn w:val="Normal"/>
    <w:next w:val="Normal"/>
    <w:qFormat/>
    <w:pPr>
      <w:spacing w:after="120" w:before="280"/>
      <w:outlineLvl w:val="1"/>
    </w:pPr>
    <w:rPr>
      <w:rFonts w:ascii="Aptos Display" w:cs="Aptos Display" w:eastAsia="Aptos Display" w:hAnsi="Aptos Display"/>
      <w:b/>
      <w:bCs/>
      <w:color w:val="1B3A4B"/>
      <w:sz w:val="28"/>
      <w:szCs w:val="28"/>
    </w:rPr>
  </w:style>
  <w:style w:type="paragraph" w:styleId="Heading3">
    <w:name w:val="Heading 3"/>
    <w:basedOn w:val="Normal"/>
    <w:next w:val="Normal"/>
    <w:qFormat/>
    <w:pPr>
      <w:spacing w:after="80" w:before="200"/>
      <w:outlineLvl w:val="2"/>
    </w:pPr>
    <w:rPr>
      <w:rFonts w:ascii="Aptos Display" w:cs="Aptos Display" w:eastAsia="Aptos Display" w:hAnsi="Aptos Display"/>
      <w:b/>
      <w:bCs/>
      <w:color w:val="B2542C"/>
      <w:sz w:val="24"/>
      <w:szCs w:val="24"/>
    </w:rPr>
  </w:style>
  <w:style w:type="paragraph" w:styleId="Heading4">
    <w:name w:val="Heading 4"/>
    <w:basedOn w:val="Normal"/>
    <w:next w:val="Normal"/>
    <w:qFormat/>
    <w:pPr>
      <w:spacing w:after="60" w:before="160"/>
      <w:outlineLvl w:val="3"/>
    </w:pPr>
    <w:rPr>
      <w:rFonts w:ascii="Aptos Display" w:cs="Aptos Display" w:eastAsia="Aptos Display" w:hAnsi="Aptos Display"/>
      <w:b/>
      <w:bCs/>
      <w:color w:val="1B3A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 the Gap — Story Map Build Guide v3</dc:title>
  <dc:creator>Mind the Gap Capstone</dc:creator>
  <cp:lastModifiedBy>Un-named</cp:lastModifiedBy>
  <cp:revision>1</cp:revision>
  <dcterms:created xsi:type="dcterms:W3CDTF">2026-04-30T18:32:04.211Z</dcterms:created>
  <dcterms:modified xsi:type="dcterms:W3CDTF">2026-04-30T18:32:04.212Z</dcterms:modified>
</cp:coreProperties>
</file>

<file path=docProps/custom.xml><?xml version="1.0" encoding="utf-8"?>
<Properties xmlns="http://schemas.openxmlformats.org/officeDocument/2006/custom-properties" xmlns:vt="http://schemas.openxmlformats.org/officeDocument/2006/docPropsVTypes"/>
</file>