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FA" w:rsidRDefault="005900FA" w:rsidP="005900FA">
      <w:pPr>
        <w:pStyle w:val="CdigoFonte1CharChar"/>
        <w:pageBreakBefore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bookmarkStart w:id="0" w:name="_GoBack"/>
      <w:bookmarkEnd w:id="0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 xml:space="preserve">Laboratório </w:t>
      </w:r>
      <w:proofErr w:type="gramStart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7</w:t>
      </w:r>
      <w:proofErr w:type="gramEnd"/>
    </w:p>
    <w:p w:rsidR="005900FA" w:rsidRPr="003B6B9D" w:rsidRDefault="005900FA" w:rsidP="005900FA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151BDE08" wp14:editId="69219718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7508240" cy="52400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5240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0FA" w:rsidRDefault="005900FA" w:rsidP="005900FA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7.5.1 Objetivo: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Além dos objetivos definidos nos laboratórios anteriores temos também a </w:t>
      </w:r>
      <w:proofErr w:type="gramStart"/>
      <w:r>
        <w:rPr>
          <w:rFonts w:ascii="Courier New" w:hAnsi="Courier New"/>
          <w:sz w:val="18"/>
          <w:szCs w:val="18"/>
        </w:rPr>
        <w:t>implementação</w:t>
      </w:r>
      <w:proofErr w:type="gramEnd"/>
      <w:r>
        <w:rPr>
          <w:rFonts w:ascii="Courier New" w:hAnsi="Courier New"/>
          <w:sz w:val="18"/>
          <w:szCs w:val="18"/>
        </w:rPr>
        <w:t xml:space="preserve"> do conceito de Interfaces.</w:t>
      </w:r>
    </w:p>
    <w:p w:rsidR="005900FA" w:rsidRDefault="005900FA" w:rsidP="005900FA">
      <w:pPr>
        <w:pStyle w:val="Tt2"/>
        <w:rPr>
          <w:rFonts w:ascii="Courier New" w:hAnsi="Courier New"/>
          <w:sz w:val="18"/>
          <w:szCs w:val="18"/>
        </w:rPr>
      </w:pPr>
      <w:bookmarkStart w:id="1" w:name="__RefHeading__369_812937759"/>
      <w:bookmarkEnd w:id="1"/>
      <w:r>
        <w:rPr>
          <w:rFonts w:ascii="Courier New" w:hAnsi="Courier New"/>
          <w:sz w:val="18"/>
          <w:szCs w:val="18"/>
        </w:rPr>
        <w:t>7.5.2 Definição: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Lab07Sistema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view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Lab06Sistema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Lab06Sistema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Lab07Sistema</w:t>
      </w:r>
      <w:r>
        <w:rPr>
          <w:rFonts w:ascii="Courier New" w:hAnsi="Courier New"/>
          <w:sz w:val="18"/>
          <w:szCs w:val="18"/>
        </w:rPr>
        <w:t>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interface Java chamada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Lab07ContaCorrenteInterfac</w:t>
      </w:r>
      <w:r>
        <w:rPr>
          <w:rStyle w:val="Monoespacado"/>
          <w:rFonts w:ascii="Courier New" w:hAnsi="Courier New"/>
          <w:sz w:val="18"/>
          <w:szCs w:val="18"/>
        </w:rPr>
        <w:t>e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Fonts w:ascii="Courier New" w:hAnsi="Courier New"/>
          <w:sz w:val="18"/>
          <w:szCs w:val="18"/>
        </w:rPr>
        <w:t>model</w:t>
      </w:r>
      <w:proofErr w:type="spellEnd"/>
      <w:r>
        <w:rPr>
          <w:rFonts w:ascii="Courier New" w:hAnsi="Courier New"/>
          <w:sz w:val="18"/>
          <w:szCs w:val="18"/>
        </w:rPr>
        <w:t xml:space="preserve"> com o atributo constante </w:t>
      </w:r>
      <w:r>
        <w:rPr>
          <w:rStyle w:val="Monoespacado"/>
          <w:rFonts w:ascii="Courier New" w:hAnsi="Courier New"/>
          <w:sz w:val="18"/>
          <w:szCs w:val="18"/>
        </w:rPr>
        <w:t>TAXA_JUROS</w:t>
      </w:r>
      <w:r>
        <w:rPr>
          <w:rFonts w:ascii="Courier New" w:hAnsi="Courier New"/>
          <w:sz w:val="18"/>
          <w:szCs w:val="18"/>
        </w:rPr>
        <w:t xml:space="preserve"> recebendo o valor igual a 1.5.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Lab07ContaRemunerada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model</w:t>
      </w:r>
      <w:proofErr w:type="spellEnd"/>
      <w:r>
        <w:rPr>
          <w:rFonts w:ascii="Courier New" w:hAnsi="Courier New"/>
          <w:sz w:val="18"/>
          <w:szCs w:val="18"/>
        </w:rPr>
        <w:t xml:space="preserve"> que herde todas as características da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e também </w:t>
      </w:r>
      <w:proofErr w:type="gramStart"/>
      <w:r>
        <w:rPr>
          <w:rFonts w:ascii="Courier New" w:hAnsi="Courier New"/>
          <w:sz w:val="18"/>
          <w:szCs w:val="18"/>
        </w:rPr>
        <w:t>implemente</w:t>
      </w:r>
      <w:proofErr w:type="gramEnd"/>
      <w:r>
        <w:rPr>
          <w:rFonts w:ascii="Courier New" w:hAnsi="Courier New"/>
          <w:sz w:val="18"/>
          <w:szCs w:val="18"/>
        </w:rPr>
        <w:t xml:space="preserve"> a interface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Lab07ContaCorrenteInterface</w:t>
      </w:r>
      <w:r>
        <w:rPr>
          <w:rFonts w:ascii="Courier New" w:hAnsi="Courier New"/>
          <w:sz w:val="18"/>
          <w:szCs w:val="18"/>
        </w:rPr>
        <w:t xml:space="preserve">. Para 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Lab07ContaRemunerada</w:t>
      </w:r>
      <w:r>
        <w:rPr>
          <w:rFonts w:ascii="Courier New" w:hAnsi="Courier New"/>
          <w:sz w:val="18"/>
          <w:szCs w:val="18"/>
        </w:rPr>
        <w:t xml:space="preserve"> adicionar o método público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calcularJuros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().</w:t>
      </w:r>
      <w:r>
        <w:rPr>
          <w:rFonts w:ascii="Courier New" w:hAnsi="Courier New"/>
          <w:sz w:val="18"/>
          <w:szCs w:val="18"/>
        </w:rPr>
        <w:t xml:space="preserve"> Este método não retorna nada e deverá incrementar o saldo com o valor do juro definido no atributo estático da interface.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Lab07Historico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Fonts w:ascii="Courier New" w:hAnsi="Courier New"/>
          <w:sz w:val="18"/>
          <w:szCs w:val="18"/>
        </w:rPr>
        <w:t>model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Lab04Historico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Lab04Historico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Lab07Historico</w:t>
      </w:r>
      <w:r>
        <w:rPr>
          <w:rFonts w:ascii="Courier New" w:hAnsi="Courier New"/>
          <w:sz w:val="18"/>
          <w:szCs w:val="18"/>
        </w:rPr>
        <w:t>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Lab07Historico</w:t>
      </w:r>
      <w:r>
        <w:rPr>
          <w:rFonts w:ascii="Courier New" w:hAnsi="Courier New"/>
          <w:sz w:val="18"/>
          <w:szCs w:val="18"/>
        </w:rPr>
        <w:t xml:space="preserve"> para levar em consideração o código </w:t>
      </w:r>
      <w:proofErr w:type="gramStart"/>
      <w:r>
        <w:rPr>
          <w:rFonts w:ascii="Courier New" w:hAnsi="Courier New"/>
          <w:sz w:val="18"/>
          <w:szCs w:val="18"/>
        </w:rPr>
        <w:t>3</w:t>
      </w:r>
      <w:proofErr w:type="gramEnd"/>
      <w:r>
        <w:rPr>
          <w:rFonts w:ascii="Courier New" w:hAnsi="Courier New"/>
          <w:sz w:val="18"/>
          <w:szCs w:val="18"/>
        </w:rPr>
        <w:t xml:space="preserve"> referente ao movimento de atualização de saldo. Apresentar a seguinte mensagem quando realizar um ajuste no saldo: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Atualização do Saldo</w:t>
      </w:r>
      <w:r>
        <w:rPr>
          <w:rFonts w:ascii="Courier New" w:hAnsi="Courier New"/>
          <w:sz w:val="18"/>
          <w:szCs w:val="18"/>
        </w:rPr>
        <w:t>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Adicionar a opção </w:t>
      </w:r>
      <w:r>
        <w:rPr>
          <w:rStyle w:val="Monoespacado"/>
          <w:rFonts w:ascii="Courier New" w:hAnsi="Courier New"/>
          <w:sz w:val="18"/>
          <w:szCs w:val="18"/>
        </w:rPr>
        <w:t>6 – Atualizar Saldo</w:t>
      </w:r>
      <w:r>
        <w:rPr>
          <w:rFonts w:ascii="Courier New" w:hAnsi="Courier New"/>
          <w:sz w:val="18"/>
          <w:szCs w:val="18"/>
        </w:rPr>
        <w:t xml:space="preserve"> na classe </w:t>
      </w:r>
      <w:r>
        <w:rPr>
          <w:rStyle w:val="Monoespacado"/>
          <w:rFonts w:ascii="Courier New" w:hAnsi="Courier New"/>
          <w:sz w:val="18"/>
          <w:szCs w:val="18"/>
        </w:rPr>
        <w:t>Lab07Sistema</w:t>
      </w:r>
      <w:r>
        <w:rPr>
          <w:rFonts w:ascii="Courier New" w:hAnsi="Courier New"/>
          <w:sz w:val="18"/>
          <w:szCs w:val="18"/>
        </w:rPr>
        <w:t xml:space="preserve"> que irá ativar um novo método chamado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execAtualizarSaldo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().</w:t>
      </w:r>
      <w:r>
        <w:rPr>
          <w:rFonts w:ascii="Courier New" w:hAnsi="Courier New"/>
          <w:sz w:val="18"/>
          <w:szCs w:val="18"/>
        </w:rPr>
        <w:t xml:space="preserve"> Este método deve solicitar o número da agência, o número da conta e verificar se a conta digitada é uma conta especial (agência maior que 5000), caso seja, criar um objeto da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Lab07ContaRemunerada</w:t>
      </w:r>
      <w:r>
        <w:rPr>
          <w:rFonts w:ascii="Courier New" w:hAnsi="Courier New"/>
          <w:sz w:val="18"/>
          <w:szCs w:val="18"/>
        </w:rPr>
        <w:t xml:space="preserve"> utilizando o número da agência e o número da conta na chamada do construtor. Em seguida executar 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calcularJuros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e atualizar o novo saldo no arquivo da conta corrente especial. Para que esta atualização seja efetiva em disco executar 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já criado na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. Em seguida executar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para apresentar ao usuário como o saldo de sua conta ficou.</w:t>
      </w:r>
    </w:p>
    <w:p w:rsidR="005900FA" w:rsidRDefault="005900FA" w:rsidP="005900FA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Em seguida criar um objeto da classe </w:t>
      </w:r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Lab07Historico</w:t>
      </w:r>
      <w:r>
        <w:rPr>
          <w:rFonts w:ascii="Courier New" w:hAnsi="Courier New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a fim registrar a alteração no saldo da conta corrente especial. Utilizar o código </w:t>
      </w:r>
      <w:proofErr w:type="gramStart"/>
      <w:r>
        <w:rPr>
          <w:rFonts w:ascii="Courier New" w:hAnsi="Courier New"/>
          <w:sz w:val="18"/>
          <w:szCs w:val="18"/>
        </w:rPr>
        <w:t>3</w:t>
      </w:r>
      <w:proofErr w:type="gramEnd"/>
      <w:r>
        <w:rPr>
          <w:rFonts w:ascii="Courier New" w:hAnsi="Courier New"/>
          <w:sz w:val="18"/>
          <w:szCs w:val="18"/>
        </w:rPr>
        <w:t xml:space="preserve"> para o movimento de atualização do saldo. </w:t>
      </w:r>
    </w:p>
    <w:p w:rsidR="005900FA" w:rsidRDefault="005900FA" w:rsidP="005900FA">
      <w:pPr>
        <w:pStyle w:val="TextoNormal"/>
        <w:jc w:val="left"/>
        <w:rPr>
          <w:rFonts w:ascii="Courier New" w:eastAsia="LucidaSans-Typewriter" w:hAnsi="Courier New" w:cs="LucidaSans-Typewriter"/>
          <w:sz w:val="18"/>
          <w:szCs w:val="18"/>
        </w:rPr>
      </w:pPr>
      <w:r>
        <w:rPr>
          <w:rFonts w:ascii="Courier New" w:eastAsia="LucidaSans-Typewriter" w:hAnsi="Courier New" w:cs="LucidaSans-Typewriter"/>
          <w:sz w:val="18"/>
          <w:szCs w:val="18"/>
        </w:rPr>
        <w:t xml:space="preserve">Alterar o método </w:t>
      </w:r>
      <w:proofErr w:type="spellStart"/>
      <w:proofErr w:type="gramStart"/>
      <w:r>
        <w:rPr>
          <w:rStyle w:val="Monoespacado"/>
          <w:rFonts w:ascii="Courier New" w:eastAsia="LucidaSans-Typewriter" w:hAnsi="Courier New"/>
          <w:sz w:val="18"/>
          <w:szCs w:val="18"/>
        </w:rPr>
        <w:t>execExtrato</w:t>
      </w:r>
      <w:proofErr w:type="spellEnd"/>
      <w:proofErr w:type="gramEnd"/>
      <w:r>
        <w:rPr>
          <w:rFonts w:ascii="Courier New" w:eastAsia="LucidaSans-Typewriter" w:hAnsi="Courier New" w:cs="LucidaSans-Typewriter"/>
          <w:sz w:val="18"/>
          <w:szCs w:val="18"/>
        </w:rPr>
        <w:t xml:space="preserve">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()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da classe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Lab07Sistema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para levar em consideração a classe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Lab07Historico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ao invés da classe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Lab04Historico</w:t>
      </w:r>
      <w:r>
        <w:rPr>
          <w:rFonts w:ascii="Courier New" w:eastAsia="LucidaSans-Typewriter" w:hAnsi="Courier New" w:cs="LucidaSans-Typewriter"/>
          <w:sz w:val="18"/>
          <w:szCs w:val="18"/>
        </w:rPr>
        <w:t>.</w:t>
      </w:r>
    </w:p>
    <w:p w:rsidR="005900FA" w:rsidRPr="003B6B9D" w:rsidRDefault="005900FA" w:rsidP="005900FA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sectPr w:rsidR="005900FA" w:rsidRPr="003B6B9D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Myriad-CnSemibold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-Typewriter"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5900FA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0E7A5F" wp14:editId="6879479B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5900F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5900F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5900FA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BCEEE3" wp14:editId="5E252B51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5900F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5900F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FA"/>
    <w:rsid w:val="005242BE"/>
    <w:rsid w:val="005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5900FA"/>
  </w:style>
  <w:style w:type="character" w:customStyle="1" w:styleId="Monoespacado">
    <w:name w:val="@Monoespacado"/>
    <w:rsid w:val="005900FA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5900FA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5900F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">
    <w:name w:val="@TextoNormal"/>
    <w:basedOn w:val="Normal"/>
    <w:rsid w:val="005900F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283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t2">
    <w:name w:val="@Tít2"/>
    <w:basedOn w:val="Normal"/>
    <w:rsid w:val="005900FA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5900FA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5900FA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5900FA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5900FA"/>
  </w:style>
  <w:style w:type="character" w:customStyle="1" w:styleId="Monoespacado">
    <w:name w:val="@Monoespacado"/>
    <w:rsid w:val="005900FA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5900FA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5900F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">
    <w:name w:val="@TextoNormal"/>
    <w:basedOn w:val="Normal"/>
    <w:rsid w:val="005900F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283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t2">
    <w:name w:val="@Tít2"/>
    <w:basedOn w:val="Normal"/>
    <w:rsid w:val="005900FA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5900FA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5900FA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5900FA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1954</Characters>
  <Application>Microsoft Office Word</Application>
  <DocSecurity>0</DocSecurity>
  <Lines>16</Lines>
  <Paragraphs>4</Paragraphs>
  <ScaleCrop>false</ScaleCrop>
  <Company>HP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2013-05-09T17:54:00Z</dcterms:created>
  <dcterms:modified xsi:type="dcterms:W3CDTF">2013-05-09T17:55:00Z</dcterms:modified>
</cp:coreProperties>
</file>