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3"/>
        </w:numPr>
        <w:spacing w:lineRule="auto" w:line="2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Criogenia Básica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 ou objetos empunhados.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ofensiva,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 ou ar.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uma seta de gelo, que causa 1d4 de dano e aplica lentidão ao alvo afetado, durando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(Elemental, Água, Nível 0)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Domo Líquido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Projeção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informação,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Proteção Contra 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mitigar 1 ponto de dano de fontes normais.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Nuvem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efeito negativo,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nuvem a um aliado ou inimigo.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tem conjuração garantida.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Melhorar Circulação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Lótus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 por 1 turno e colocam 3 marcadores de enraizamento.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não podem ser afetadas mais de duas vezes por essa habilidade do mesmo conjurador.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52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Respirar na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Bolha Mágica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Corrente Refrescante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uma unidade aliada em 6 pontos de vida, aumentando sua agilidade e velocidade em 4 pontos por 1 turno. Esse efeito se repete em cadeia para aliados únicos em um raio de 10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Básico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ofensivo, defensivo,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 e 2 pontos de vida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elemental humanoide com 4 pontos de força e inteligência, mas 1 de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custa 4 manas adicionais para cada vez utilizada no mesmo dia.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Lago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ofensivo,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água são priorizadas em caso de empate de agilidade.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Andar sobre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Agilidade aumentada em 2 pontos quando sobre os líquidos.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Criogenia Intermediária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Efeito cancelado se o alvo causa dano de Ignis em si mesmo.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Afogar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Silencia uma unidade criando uma bolha de água, estando ela submersa ou não. Efeito dura por 2 turnos.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de Anfíbio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Vórtex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controle de grupo,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Tsunami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água,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Arco-Íris Boreal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cura, utilidade, ofensivo, controle de grupo,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 visual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 em forma de mana,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Restauração Multiaquática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efeito positivo,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Duplica o efeito das próximas duas curas.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spacing w:before="0" w:after="160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LibreOffice/7.3.4.2$Windows_X86_64 LibreOffice_project/728fec16bd5f605073805c3c9e7c4212a0120dc5</Application>
  <AppVersion>15.0000</AppVersion>
  <Pages>18</Pages>
  <Words>2185</Words>
  <Characters>11872</Characters>
  <CharactersWithSpaces>13642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2022-07-28T00:33:00Z</dcterms:created>
  <dc:creator>Sidnei Gomes de Almeida Junior</dc:creator>
  <dc:description/>
  <dc:language>pt-BR</dc:language>
  <cp:lastModifiedBy/>
  <dcterms:modified xsi:type="dcterms:W3CDTF">2022-08-02T20:55:21Z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