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313956" w:val="clear"/>
            <w:tcMar>
              <w:top w:type="dxa" w:w="3000"/>
              <w:left w:type="dxa" w:w="1008"/>
              <w:bottom w:type="dxa" w:w="2000"/>
              <w:right w:type="dxa" w:w="1008"/>
            </w:tcMar>
          </w:tcPr>
          <w:p>
            <w:pPr>
              <w:spacing w:after="12" w:before="0"/>
            </w:pPr>
            <w:r>
              <w:rPr>
                <w:rFonts w:ascii="Trebuchet MS" w:cs="Trebuchet MS" w:eastAsia="Trebuchet MS" w:hAnsi="Trebuchet MS"/>
                <w:b/>
                <w:bCs/>
                <w:caps/>
                <w:color w:val="D65729"/>
                <w:spacing w:val="120"/>
                <w:sz w:val="16"/>
                <w:szCs w:val="16"/>
              </w:rPr>
              <w:t xml:space="preserve">INFORMATION ARCHITECTURE AUDIT</w:t>
            </w:r>
          </w:p>
          <w:p>
            <w:pPr>
              <w:spacing w:after="8" w:before="0" w:line="276" w:lineRule="auto"/>
            </w:pPr>
            <w:r>
              <w:rPr>
                <w:rFonts w:ascii="Georgia" w:cs="Georgia" w:eastAsia="Georgia" w:hAnsi="Georgia"/>
                <w:color w:val="FFFFFF"/>
                <w:sz w:val="64"/>
                <w:szCs w:val="64"/>
              </w:rPr>
              <w:t xml:space="preserve">GI Partners of Illinois</w:t>
            </w:r>
          </w:p>
          <w:p>
            <w:pPr>
              <w:spacing w:after="32" w:before="0"/>
            </w:pPr>
            <w:r>
              <w:rPr>
                <w:rFonts w:ascii="Georgia" w:cs="Georgia" w:eastAsia="Georgia" w:hAnsi="Georgia"/>
                <w:i/>
                <w:iCs/>
                <w:color w:val="D65729"/>
                <w:sz w:val="32"/>
                <w:szCs w:val="32"/>
              </w:rPr>
              <w:t xml:space="preserve">gipartnersofil.com</w:t>
            </w:r>
          </w:p>
          <w:p>
            <w:pPr>
              <w:pBdr>
                <w:bottom w:val="single" w:color="D65729" w:sz="6" w:space="1"/>
              </w:pBdr>
              <w:spacing w:after="28" w:before="0"/>
            </w:pPr>
          </w:p>
          <w:p>
            <w:pPr>
              <w:spacing w:after="60" w:before="0"/>
            </w:pPr>
            <w:r>
              <w:rPr>
                <w:rFonts w:ascii="Trebuchet MS" w:cs="Trebuchet MS" w:eastAsia="Trebuchet MS" w:hAnsi="Trebuchet MS"/>
                <w:color w:val="AABBCC"/>
                <w:sz w:val="22"/>
                <w:szCs w:val="22"/>
              </w:rPr>
              <w:t xml:space="preserve">Website navigation structure, labelling, classification, and proposed redesign ready for team review.</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9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4" w:before="0"/>
                  </w:pPr>
                  <w:r>
                    <w:rPr>
                      <w:rFonts w:ascii="Trebuchet MS" w:cs="Trebuchet MS" w:eastAsia="Trebuchet MS" w:hAnsi="Trebuchet MS"/>
                      <w:color w:val="777799"/>
                      <w:spacing w:val="60"/>
                      <w:sz w:val="14"/>
                      <w:szCs w:val="14"/>
                    </w:rPr>
                    <w:t xml:space="preserve">PREPARED BY</w:t>
                  </w:r>
                </w:p>
                <w:p>
                  <w:pPr>
                    <w:spacing w:after="0" w:before="0"/>
                  </w:pPr>
                  <w:r>
                    <w:rPr>
                      <w:rFonts w:ascii="Trebuchet MS" w:cs="Trebuchet MS" w:eastAsia="Trebuchet MS" w:hAnsi="Trebuchet MS"/>
                      <w:b/>
                      <w:bCs/>
                      <w:color w:val="DDDDEE"/>
                      <w:sz w:val="18"/>
                      <w:szCs w:val="18"/>
                    </w:rPr>
                    <w:t xml:space="preserve">designsuite.ai</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4" w:before="0"/>
                  </w:pPr>
                  <w:r>
                    <w:rPr>
                      <w:rFonts w:ascii="Trebuchet MS" w:cs="Trebuchet MS" w:eastAsia="Trebuchet MS" w:hAnsi="Trebuchet MS"/>
                      <w:color w:val="777799"/>
                      <w:spacing w:val="60"/>
                      <w:sz w:val="14"/>
                      <w:szCs w:val="14"/>
                    </w:rPr>
                    <w:t xml:space="preserve">CLIENT</w:t>
                  </w:r>
                </w:p>
                <w:p>
                  <w:pPr>
                    <w:spacing w:after="0" w:before="0"/>
                  </w:pPr>
                  <w:r>
                    <w:rPr>
                      <w:rFonts w:ascii="Trebuchet MS" w:cs="Trebuchet MS" w:eastAsia="Trebuchet MS" w:hAnsi="Trebuchet MS"/>
                      <w:b/>
                      <w:bCs/>
                      <w:color w:val="DDDDEE"/>
                      <w:sz w:val="18"/>
                      <w:szCs w:val="18"/>
                    </w:rPr>
                    <w:t xml:space="preserve">GI Partners of Illinois</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4" w:before="0"/>
                  </w:pPr>
                  <w:r>
                    <w:rPr>
                      <w:rFonts w:ascii="Trebuchet MS" w:cs="Trebuchet MS" w:eastAsia="Trebuchet MS" w:hAnsi="Trebuchet MS"/>
                      <w:color w:val="777799"/>
                      <w:spacing w:val="60"/>
                      <w:sz w:val="14"/>
                      <w:szCs w:val="14"/>
                    </w:rPr>
                    <w:t xml:space="preserve">DATE</w:t>
                  </w:r>
                </w:p>
                <w:p>
                  <w:pPr>
                    <w:spacing w:after="0" w:before="0"/>
                  </w:pPr>
                  <w:r>
                    <w:rPr>
                      <w:rFonts w:ascii="Trebuchet MS" w:cs="Trebuchet MS" w:eastAsia="Trebuchet MS" w:hAnsi="Trebuchet MS"/>
                      <w:b/>
                      <w:bCs/>
                      <w:color w:val="DDDDEE"/>
                      <w:sz w:val="18"/>
                      <w:szCs w:val="18"/>
                    </w:rPr>
                    <w:t xml:space="preserve">May 2026</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4" w:before="0"/>
                  </w:pPr>
                  <w:r>
                    <w:rPr>
                      <w:rFonts w:ascii="Trebuchet MS" w:cs="Trebuchet MS" w:eastAsia="Trebuchet MS" w:hAnsi="Trebuchet MS"/>
                      <w:color w:val="777799"/>
                      <w:spacing w:val="60"/>
                      <w:sz w:val="14"/>
                      <w:szCs w:val="14"/>
                    </w:rPr>
                    <w:t xml:space="preserve">TYPE</w:t>
                  </w:r>
                </w:p>
                <w:p>
                  <w:pPr>
                    <w:spacing w:after="0" w:before="0"/>
                  </w:pPr>
                  <w:r>
                    <w:rPr>
                      <w:rFonts w:ascii="Trebuchet MS" w:cs="Trebuchet MS" w:eastAsia="Trebuchet MS" w:hAnsi="Trebuchet MS"/>
                      <w:b/>
                      <w:bCs/>
                      <w:color w:val="DDDDEE"/>
                      <w:sz w:val="18"/>
                      <w:szCs w:val="18"/>
                    </w:rPr>
                    <w:t xml:space="preserve">IA Audit + Redesign</w:t>
                  </w:r>
                </w:p>
              </w:tc>
            </w:tr>
          </w:tbl>
          <w:p/>
        </w:tc>
      </w:tr>
    </w:tbl>
    <w:p>
      <w:pPr>
        <w:sectPr>
          <w:pgSz w:w="11906" w:h="16838" w:orient="portrait"/>
          <w:pgMar w:top="0" w:right="0" w:bottom="0" w:left="0" w:header="708" w:footer="708" w:gutter="0"/>
          <w:pgNumType/>
          <w:docGrid w:linePitch="360"/>
        </w:sectPr>
      </w:pPr>
    </w:p>
    <w:p>
      <w:pPr>
        <w:spacing w:after="8" w:before="32"/>
      </w:pPr>
      <w:r>
        <w:rPr>
          <w:rFonts w:ascii="Trebuchet MS" w:cs="Trebuchet MS" w:eastAsia="Trebuchet MS" w:hAnsi="Trebuchet MS"/>
          <w:b/>
          <w:bCs/>
          <w:caps/>
          <w:color w:val="D65729"/>
          <w:sz w:val="16"/>
          <w:szCs w:val="16"/>
        </w:rPr>
        <w:t xml:space="preserve">01  </w:t>
      </w:r>
      <w:r>
        <w:rPr>
          <w:rFonts w:ascii="Trebuchet MS" w:cs="Trebuchet MS" w:eastAsia="Trebuchet MS" w:hAnsi="Trebuchet MS"/>
          <w:color w:val="6B7280"/>
          <w:sz w:val="16"/>
          <w:szCs w:val="16"/>
        </w:rPr>
        <w:t xml:space="preserve">— Executive Summary</w:t>
      </w:r>
    </w:p>
    <w:p>
      <w:pPr>
        <w:pStyle w:val="Heading1"/>
        <w:spacing w:after="20" w:before="12"/>
      </w:pPr>
      <w:r>
        <w:rPr>
          <w:rFonts w:ascii="Georgia" w:cs="Georgia" w:eastAsia="Georgia" w:hAnsi="Georgia"/>
          <w:b w:val="false"/>
          <w:bCs w:val="false"/>
          <w:color w:val="313956"/>
          <w:sz w:val="44"/>
          <w:szCs w:val="44"/>
        </w:rPr>
        <w:t xml:space="preserve">The site has good content. The </w:t>
      </w:r>
      <w:r>
        <w:rPr>
          <w:rFonts w:ascii="Georgia" w:cs="Georgia" w:eastAsia="Georgia" w:hAnsi="Georgia"/>
          <w:i/>
          <w:iCs/>
          <w:color w:val="15545E"/>
          <w:sz w:val="44"/>
          <w:szCs w:val="44"/>
        </w:rPr>
        <w:t xml:space="preserve">navigation hides it.</w:t>
      </w:r>
    </w:p>
    <w:p>
      <w:pPr>
        <w:spacing w:after="24" w:before="8" w:line="336" w:lineRule="auto"/>
      </w:pPr>
      <w:r>
        <w:rPr>
          <w:rFonts w:ascii="Corbel" w:cs="Corbel" w:eastAsia="Corbel" w:hAnsi="Corbel"/>
          <w:i w:val="false"/>
          <w:iCs w:val="false"/>
          <w:color w:val="6B7280"/>
          <w:sz w:val="23"/>
          <w:szCs w:val="23"/>
        </w:rPr>
        <w:t xml:space="preserve">GI Partners of Illinois serves three distinct user groups — new patients, existing patients, and referring providers — yet the current navigation is structured around internal brand names and organisational logic, not user intent.</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000"/>
        <w:gridCol w:w="6290"/>
        <w:gridCol w:w="1600"/>
      </w:tblGrid>
      <w:tr>
        <w:tc>
          <w:tcPr>
            <w:tcW w:type="dxa" w:w="2000"/>
            <w:tcBorders>
              <w:top w:val="none" w:color="FFFFFF" w:sz="0"/>
              <w:left w:val="none" w:color="FFFFFF" w:sz="0"/>
              <w:bottom w:val="none" w:color="FFFFFF" w:sz="0"/>
              <w:right w:val="none" w:color="FFFFFF" w:sz="0"/>
            </w:tcBorders>
            <w:shd w:fill="313956" w:val="clear"/>
            <w:tcMar>
              <w:top w:type="dxa" w:w="160"/>
              <w:left w:type="dxa" w:w="200"/>
              <w:bottom w:type="dxa" w:w="160"/>
              <w:right w:type="dxa" w:w="120"/>
            </w:tcMar>
            <w:vAlign w:val="center"/>
          </w:tcPr>
          <w:p>
            <w:pPr>
              <w:spacing w:after="6" w:before="0"/>
            </w:pPr>
            <w:r>
              <w:rPr>
                <w:rFonts w:ascii="Trebuchet MS" w:cs="Trebuchet MS" w:eastAsia="Trebuchet MS" w:hAnsi="Trebuchet MS"/>
                <w:color w:val="AAAACC"/>
                <w:spacing w:val="60"/>
                <w:sz w:val="14"/>
                <w:szCs w:val="14"/>
              </w:rPr>
              <w:t xml:space="preserve">OVERALL IA SCORE</w:t>
            </w:r>
          </w:p>
          <w:p>
            <w:pPr>
              <w:spacing w:after="0" w:before="0"/>
            </w:pPr>
            <w:r>
              <w:rPr>
                <w:rFonts w:ascii="Georgia" w:cs="Georgia" w:eastAsia="Georgia" w:hAnsi="Georgia"/>
                <w:color w:val="FFFFFF"/>
                <w:sz w:val="56"/>
                <w:szCs w:val="56"/>
              </w:rPr>
              <w:t xml:space="preserve">42</w:t>
            </w:r>
            <w:r>
              <w:rPr>
                <w:rFonts w:ascii="Trebuchet MS" w:cs="Trebuchet MS" w:eastAsia="Trebuchet MS" w:hAnsi="Trebuchet MS"/>
                <w:color w:val="AAAACC"/>
                <w:sz w:val="20"/>
                <w:szCs w:val="20"/>
              </w:rPr>
              <w:t xml:space="preserve"> / 100</w:t>
            </w:r>
          </w:p>
        </w:tc>
        <w:tc>
          <w:tcPr>
            <w:tcW w:type="dxa" w:w="6290"/>
            <w:tcBorders>
              <w:top w:val="none" w:color="FFFFFF" w:sz="0"/>
              <w:left w:val="none" w:color="FFFFFF" w:sz="0"/>
              <w:bottom w:val="none" w:color="FFFFFF" w:sz="0"/>
              <w:right w:val="none" w:color="FFFFFF" w:sz="0"/>
            </w:tcBorders>
            <w:shd w:fill="313956" w:val="clear"/>
            <w:tcMar>
              <w:top w:type="dxa" w:w="120"/>
              <w:left w:type="dxa" w:w="120"/>
              <w:bottom w:type="dxa" w:w="120"/>
              <w:right w:type="dxa" w:w="120"/>
            </w:tcMar>
            <w:vAlign w:val="center"/>
          </w:tcPr>
          <w:p>
            <w:pPr>
              <w:spacing w:after="0" w:before="0" w:line="276" w:lineRule="auto"/>
            </w:pPr>
            <w:r>
              <w:rPr>
                <w:rFonts w:ascii="Corbel" w:cs="Corbel" w:eastAsia="Corbel" w:hAnsi="Corbel"/>
                <w:color w:val="BBBBCC"/>
                <w:sz w:val="19"/>
                <w:szCs w:val="19"/>
              </w:rPr>
              <w:t xml:space="preserve">Five critical IA violations identified. Navigation labels consistently favour internal terminology over user language. Three of five primary nav items fail the user intent test.</w:t>
            </w:r>
          </w:p>
        </w:tc>
        <w:tc>
          <w:tcPr>
            <w:tcW w:type="dxa" w:w="1600"/>
            <w:tcBorders>
              <w:top w:val="none" w:color="FFFFFF" w:sz="0"/>
              <w:left w:val="none" w:color="FFFFFF" w:sz="0"/>
              <w:bottom w:val="none" w:color="FFFFFF" w:sz="0"/>
              <w:right w:val="none" w:color="FFFFFF" w:sz="0"/>
            </w:tcBorders>
            <w:shd w:fill="D65729" w:val="clear"/>
            <w:tcMar>
              <w:top w:type="dxa" w:w="120"/>
              <w:left w:type="dxa" w:w="120"/>
              <w:bottom w:type="dxa" w:w="120"/>
              <w:right w:type="dxa" w:w="120"/>
            </w:tcMar>
            <w:vAlign w:val="center"/>
          </w:tcPr>
          <w:p>
            <w:pPr>
              <w:spacing w:after="0" w:before="0"/>
              <w:jc w:val="center"/>
            </w:pPr>
            <w:r>
              <w:rPr>
                <w:rFonts w:ascii="Trebuchet MS" w:cs="Trebuchet MS" w:eastAsia="Trebuchet MS" w:hAnsi="Trebuchet MS"/>
                <w:b/>
                <w:bCs/>
                <w:color w:val="FFFFFF"/>
                <w:spacing w:val="60"/>
                <w:sz w:val="18"/>
                <w:szCs w:val="18"/>
              </w:rPr>
              <w:t xml:space="preserve">NEEDS REDESIGN</w:t>
            </w:r>
          </w:p>
        </w:tc>
      </w:tr>
    </w:tbl>
    <w:p>
      <w:pPr>
        <w:spacing w:after="12"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2472"/>
        <w:gridCol w:w="2472"/>
      </w:tblGrid>
      <w:tr>
        <w:tc>
          <w:tcPr>
            <w:tcW w:type="dxa" w:w="2472"/>
            <w:tcBorders>
              <w:top w:val="single" w:color="E5E7EB" w:sz="4"/>
              <w:left w:val="single" w:color="E5E7EB" w:sz="4"/>
              <w:bottom w:val="single" w:color="E5E7EB" w:sz="4"/>
              <w:right w:val="single" w:color="E5E7EB" w:sz="4"/>
            </w:tcBorders>
            <w:shd w:fill="FEFAE0" w:val="clear"/>
            <w:tcMar>
              <w:top w:type="dxa" w:w="100"/>
              <w:left w:type="dxa" w:w="120"/>
              <w:bottom w:type="dxa" w:w="100"/>
              <w:right w:type="dxa" w:w="120"/>
            </w:tcMar>
          </w:tcPr>
          <w:p>
            <w:pPr>
              <w:spacing w:after="4" w:before="0"/>
            </w:pPr>
            <w:r>
              <w:rPr>
                <w:rFonts w:ascii="Trebuchet MS" w:cs="Trebuchet MS" w:eastAsia="Trebuchet MS" w:hAnsi="Trebuchet MS"/>
                <w:color w:val="6B7280"/>
                <w:spacing w:val="60"/>
                <w:sz w:val="14"/>
                <w:szCs w:val="14"/>
              </w:rPr>
              <w:t xml:space="preserve">ISSUES FOUND</w:t>
            </w:r>
          </w:p>
          <w:p>
            <w:pPr>
              <w:spacing w:after="4" w:before="0"/>
            </w:pPr>
            <w:r>
              <w:rPr>
                <w:rFonts w:ascii="Georgia" w:cs="Georgia" w:eastAsia="Georgia" w:hAnsi="Georgia"/>
                <w:color w:val="313956"/>
                <w:sz w:val="36"/>
                <w:szCs w:val="36"/>
              </w:rPr>
              <w:t xml:space="preserve">5</w:t>
            </w:r>
          </w:p>
          <w:p>
            <w:pPr>
              <w:spacing w:after="0" w:before="0"/>
            </w:pPr>
            <w:r>
              <w:rPr>
                <w:rFonts w:ascii="Trebuchet MS" w:cs="Trebuchet MS" w:eastAsia="Trebuchet MS" w:hAnsi="Trebuchet MS"/>
                <w:color w:val="6B7280"/>
                <w:sz w:val="15"/>
                <w:szCs w:val="15"/>
              </w:rPr>
              <w:t xml:space="preserve">2 high · 2 medium · 1 low</w:t>
            </w:r>
          </w:p>
        </w:tc>
        <w:tc>
          <w:tcPr>
            <w:tcW w:type="dxa" w:w="2472"/>
            <w:tcBorders>
              <w:top w:val="single" w:color="E5E7EB" w:sz="4"/>
              <w:left w:val="single" w:color="E5E7EB" w:sz="4"/>
              <w:bottom w:val="single" w:color="E5E7EB" w:sz="4"/>
              <w:right w:val="single" w:color="E5E7EB" w:sz="4"/>
            </w:tcBorders>
            <w:shd w:fill="FEFAE0" w:val="clear"/>
            <w:tcMar>
              <w:top w:type="dxa" w:w="100"/>
              <w:left w:type="dxa" w:w="120"/>
              <w:bottom w:type="dxa" w:w="100"/>
              <w:right w:type="dxa" w:w="120"/>
            </w:tcMar>
          </w:tcPr>
          <w:p>
            <w:pPr>
              <w:spacing w:after="4" w:before="0"/>
            </w:pPr>
            <w:r>
              <w:rPr>
                <w:rFonts w:ascii="Trebuchet MS" w:cs="Trebuchet MS" w:eastAsia="Trebuchet MS" w:hAnsi="Trebuchet MS"/>
                <w:color w:val="6B7280"/>
                <w:spacing w:val="60"/>
                <w:sz w:val="14"/>
                <w:szCs w:val="14"/>
              </w:rPr>
              <w:t xml:space="preserve">NAV ITEMS FAILING TEST</w:t>
            </w:r>
          </w:p>
          <w:p>
            <w:pPr>
              <w:spacing w:after="4" w:before="0"/>
            </w:pPr>
            <w:r>
              <w:rPr>
                <w:rFonts w:ascii="Georgia" w:cs="Georgia" w:eastAsia="Georgia" w:hAnsi="Georgia"/>
                <w:color w:val="313956"/>
                <w:sz w:val="36"/>
                <w:szCs w:val="36"/>
              </w:rPr>
              <w:t xml:space="preserve">3/5</w:t>
            </w:r>
          </w:p>
          <w:p>
            <w:pPr>
              <w:spacing w:after="0" w:before="0"/>
            </w:pPr>
            <w:r>
              <w:rPr>
                <w:rFonts w:ascii="Trebuchet MS" w:cs="Trebuchet MS" w:eastAsia="Trebuchet MS" w:hAnsi="Trebuchet MS"/>
                <w:color w:val="6B7280"/>
                <w:sz w:val="15"/>
                <w:szCs w:val="15"/>
              </w:rPr>
              <w:t xml:space="preserve">Treatments, Our Team, In The News</w:t>
            </w:r>
          </w:p>
        </w:tc>
        <w:tc>
          <w:tcPr>
            <w:tcW w:type="dxa" w:w="2472"/>
            <w:tcBorders>
              <w:top w:val="single" w:color="E5E7EB" w:sz="4"/>
              <w:left w:val="single" w:color="E5E7EB" w:sz="4"/>
              <w:bottom w:val="single" w:color="E5E7EB" w:sz="4"/>
              <w:right w:val="single" w:color="E5E7EB" w:sz="4"/>
            </w:tcBorders>
            <w:shd w:fill="FEFAE0" w:val="clear"/>
            <w:tcMar>
              <w:top w:type="dxa" w:w="100"/>
              <w:left w:type="dxa" w:w="120"/>
              <w:bottom w:type="dxa" w:w="100"/>
              <w:right w:type="dxa" w:w="120"/>
            </w:tcMar>
          </w:tcPr>
          <w:p>
            <w:pPr>
              <w:spacing w:after="4" w:before="0"/>
            </w:pPr>
            <w:r>
              <w:rPr>
                <w:rFonts w:ascii="Trebuchet MS" w:cs="Trebuchet MS" w:eastAsia="Trebuchet MS" w:hAnsi="Trebuchet MS"/>
                <w:color w:val="6B7280"/>
                <w:spacing w:val="60"/>
                <w:sz w:val="14"/>
                <w:szCs w:val="14"/>
              </w:rPr>
              <w:t xml:space="preserve">USER GROUPS SERVED</w:t>
            </w:r>
          </w:p>
          <w:p>
            <w:pPr>
              <w:spacing w:after="4" w:before="0"/>
            </w:pPr>
            <w:r>
              <w:rPr>
                <w:rFonts w:ascii="Georgia" w:cs="Georgia" w:eastAsia="Georgia" w:hAnsi="Georgia"/>
                <w:color w:val="313956"/>
                <w:sz w:val="36"/>
                <w:szCs w:val="36"/>
              </w:rPr>
              <w:t xml:space="preserve">3</w:t>
            </w:r>
          </w:p>
          <w:p>
            <w:pPr>
              <w:spacing w:after="0" w:before="0"/>
            </w:pPr>
            <w:r>
              <w:rPr>
                <w:rFonts w:ascii="Trebuchet MS" w:cs="Trebuchet MS" w:eastAsia="Trebuchet MS" w:hAnsi="Trebuchet MS"/>
                <w:color w:val="6B7280"/>
                <w:sz w:val="15"/>
                <w:szCs w:val="15"/>
              </w:rPr>
              <w:t xml:space="preserve">Patients · Returning · Providers</w:t>
            </w:r>
          </w:p>
        </w:tc>
        <w:tc>
          <w:tcPr>
            <w:tcW w:type="dxa" w:w="2472"/>
            <w:tcBorders>
              <w:top w:val="single" w:color="E5E7EB" w:sz="4"/>
              <w:left w:val="single" w:color="E5E7EB" w:sz="4"/>
              <w:bottom w:val="single" w:color="E5E7EB" w:sz="4"/>
              <w:right w:val="single" w:color="E5E7EB" w:sz="4"/>
            </w:tcBorders>
            <w:shd w:fill="FEFAE0" w:val="clear"/>
            <w:tcMar>
              <w:top w:type="dxa" w:w="100"/>
              <w:left w:type="dxa" w:w="120"/>
              <w:bottom w:type="dxa" w:w="100"/>
              <w:right w:type="dxa" w:w="120"/>
            </w:tcMar>
          </w:tcPr>
          <w:p>
            <w:pPr>
              <w:spacing w:after="4" w:before="0"/>
            </w:pPr>
            <w:r>
              <w:rPr>
                <w:rFonts w:ascii="Trebuchet MS" w:cs="Trebuchet MS" w:eastAsia="Trebuchet MS" w:hAnsi="Trebuchet MS"/>
                <w:color w:val="6B7280"/>
                <w:spacing w:val="60"/>
                <w:sz w:val="14"/>
                <w:szCs w:val="14"/>
              </w:rPr>
              <w:t xml:space="preserve">LOCATIONS</w:t>
            </w:r>
          </w:p>
          <w:p>
            <w:pPr>
              <w:spacing w:after="4" w:before="0"/>
            </w:pPr>
            <w:r>
              <w:rPr>
                <w:rFonts w:ascii="Georgia" w:cs="Georgia" w:eastAsia="Georgia" w:hAnsi="Georgia"/>
                <w:color w:val="313956"/>
                <w:sz w:val="36"/>
                <w:szCs w:val="36"/>
              </w:rPr>
              <w:t xml:space="preserve">9</w:t>
            </w:r>
          </w:p>
          <w:p>
            <w:pPr>
              <w:spacing w:after="0" w:before="0"/>
            </w:pPr>
            <w:r>
              <w:rPr>
                <w:rFonts w:ascii="Trebuchet MS" w:cs="Trebuchet MS" w:eastAsia="Trebuchet MS" w:hAnsi="Trebuchet MS"/>
                <w:color w:val="6B7280"/>
                <w:sz w:val="15"/>
                <w:szCs w:val="15"/>
              </w:rPr>
              <w:t xml:space="preserve">All organised by brand, not geography</w:t>
            </w:r>
          </w:p>
        </w:tc>
      </w:tr>
    </w:tbl>
    <w:p>
      <w:pPr>
        <w:spacing w:after="12" w:before="0"/>
      </w:pPr>
      <w:r>
        <w:t xml:space="preserve"/>
      </w:r>
    </w:p>
    <w:p>
      <w:pPr>
        <w:pStyle w:val="Heading2"/>
        <w:spacing w:after="12" w:before="28"/>
      </w:pPr>
      <w:r>
        <w:rPr>
          <w:rFonts w:ascii="Georgia" w:cs="Georgia" w:eastAsia="Georgia" w:hAnsi="Georgia"/>
          <w:color w:val="313956"/>
          <w:sz w:val="28"/>
          <w:szCs w:val="28"/>
        </w:rPr>
        <w:t xml:space="preserve">What this report covers</w:t>
      </w:r>
    </w:p>
    <w:p>
      <w:pPr>
        <w:spacing w:after="14" w:before="0" w:line="320" w:lineRule="auto"/>
      </w:pPr>
      <w:r>
        <w:rPr>
          <w:rFonts w:ascii="Corbel" w:cs="Corbel" w:eastAsia="Corbel" w:hAnsi="Corbel"/>
          <w:color w:val="1A1A1A"/>
          <w:sz w:val="21"/>
          <w:szCs w:val="21"/>
        </w:rPr>
        <w:t xml:space="preserve">This audit reviews the current navigation against established IA principles — specifically the People, Content, and Context model, classification scheme selection, labelling rules, and navigation pattern design. For each issue identified, we provide the current problem, the principle being violated, and a specific recommended fix.</w:t>
      </w:r>
    </w:p>
    <w:p>
      <w:pPr>
        <w:spacing w:after="14" w:before="0" w:line="320" w:lineRule="auto"/>
      </w:pPr>
      <w:r>
        <w:rPr>
          <w:rFonts w:ascii="Corbel" w:cs="Corbel" w:eastAsia="Corbel" w:hAnsi="Corbel"/>
          <w:color w:val="1A1A1A"/>
          <w:sz w:val="21"/>
          <w:szCs w:val="21"/>
        </w:rPr>
        <w:t xml:space="preserve">The report concludes with a complete proposed IA structure, a before/after navigation comparison, mobile-specific recommendations, and a prioritised implementation roadmap.</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D65729" w:sz="18"/>
              <w:bottom w:val="none" w:color="FFFFFF" w:sz="0"/>
              <w:right w:val="none" w:color="FFFFFF" w:sz="0"/>
            </w:tcBorders>
            <w:shd w:fill="FAF0EB" w:val="clear"/>
            <w:tcMar>
              <w:top w:type="dxa" w:w="100"/>
              <w:left w:type="dxa" w:w="180"/>
              <w:bottom w:type="dxa" w:w="100"/>
              <w:right w:type="dxa" w:w="120"/>
            </w:tcMar>
          </w:tcPr>
          <w:p>
            <w:pPr>
              <w:spacing w:after="0" w:before="0"/>
            </w:pPr>
            <w:r>
              <w:rPr>
                <w:rFonts w:ascii="Trebuchet MS" w:cs="Trebuchet MS" w:eastAsia="Trebuchet MS" w:hAnsi="Trebuchet MS"/>
                <w:b/>
                <w:bCs/>
                <w:color w:val="D65729"/>
                <w:sz w:val="18"/>
                <w:szCs w:val="18"/>
              </w:rPr>
              <w:t xml:space="preserve">Key finding: </w:t>
            </w:r>
            <w:r>
              <w:rPr>
                <w:rFonts w:ascii="Corbel" w:cs="Corbel" w:eastAsia="Corbel" w:hAnsi="Corbel"/>
                <w:color w:val="7C2D12"/>
                <w:sz w:val="20"/>
                <w:szCs w:val="20"/>
              </w:rPr>
              <w:t xml:space="preserve">The single highest-impact change is renaming "Treatments" to "Digestive health" and surfacing "Symptoms" as a primary entry point. This directly addresses the highest-anxiety, highest-volume user path — a new patient who has a symptom and doesn't yet know they need a gastroenterologist.</w:t>
            </w:r>
          </w:p>
        </w:tc>
      </w:tr>
    </w:tbl>
    <w:p>
      <w:pPr>
        <w:spacing w:after="16" w:before="0"/>
      </w:pPr>
      <w:r>
        <w:t xml:space="preserve"/>
      </w:r>
    </w:p>
    <w:p>
      <w:r>
        <w:br w:type="page"/>
      </w:r>
    </w:p>
    <w:p>
      <w:pPr>
        <w:spacing w:after="8" w:before="32"/>
      </w:pPr>
      <w:r>
        <w:rPr>
          <w:rFonts w:ascii="Trebuchet MS" w:cs="Trebuchet MS" w:eastAsia="Trebuchet MS" w:hAnsi="Trebuchet MS"/>
          <w:b/>
          <w:bCs/>
          <w:caps/>
          <w:color w:val="D65729"/>
          <w:sz w:val="16"/>
          <w:szCs w:val="16"/>
        </w:rPr>
        <w:t xml:space="preserve">02  </w:t>
      </w:r>
      <w:r>
        <w:rPr>
          <w:rFonts w:ascii="Trebuchet MS" w:cs="Trebuchet MS" w:eastAsia="Trebuchet MS" w:hAnsi="Trebuchet MS"/>
          <w:color w:val="6B7280"/>
          <w:sz w:val="16"/>
          <w:szCs w:val="16"/>
        </w:rPr>
        <w:t xml:space="preserve">— User Analysis</w:t>
      </w:r>
    </w:p>
    <w:p>
      <w:pPr>
        <w:pStyle w:val="Heading1"/>
        <w:spacing w:after="20" w:before="12"/>
      </w:pPr>
      <w:r>
        <w:rPr>
          <w:rFonts w:ascii="Georgia" w:cs="Georgia" w:eastAsia="Georgia" w:hAnsi="Georgia"/>
          <w:b w:val="false"/>
          <w:bCs w:val="false"/>
          <w:color w:val="313956"/>
          <w:sz w:val="44"/>
          <w:szCs w:val="44"/>
        </w:rPr>
        <w:t xml:space="preserve">Three user groups. One navigation </w:t>
      </w:r>
      <w:r>
        <w:rPr>
          <w:rFonts w:ascii="Georgia" w:cs="Georgia" w:eastAsia="Georgia" w:hAnsi="Georgia"/>
          <w:i/>
          <w:iCs/>
          <w:color w:val="15545E"/>
          <w:sz w:val="44"/>
          <w:szCs w:val="44"/>
        </w:rPr>
        <w:t xml:space="preserve">built for none of them.</w:t>
      </w:r>
    </w:p>
    <w:p>
      <w:pPr>
        <w:spacing w:after="24" w:before="8" w:line="336" w:lineRule="auto"/>
      </w:pPr>
      <w:r>
        <w:rPr>
          <w:rFonts w:ascii="Corbel" w:cs="Corbel" w:eastAsia="Corbel" w:hAnsi="Corbel"/>
          <w:i w:val="false"/>
          <w:iCs w:val="false"/>
          <w:color w:val="6B7280"/>
          <w:sz w:val="23"/>
          <w:szCs w:val="23"/>
        </w:rPr>
        <w:t xml:space="preserve">The People dimension of IA requires understanding what each user group needs to do, what terminology they use, and how urgently they need it.</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800"/>
        <w:gridCol w:w="2000"/>
        <w:gridCol w:w="3690"/>
      </w:tblGrid>
      <w:tr>
        <w:trPr>
          <w:tblHeader/>
        </w:trPr>
        <w:tc>
          <w:tcPr>
            <w:tcW w:type="dxa" w:w="14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4"/>
                <w:szCs w:val="14"/>
              </w:rPr>
              <w:t xml:space="preserve">USER GROUP</w:t>
            </w:r>
          </w:p>
        </w:tc>
        <w:tc>
          <w:tcPr>
            <w:tcW w:type="dxa" w:w="20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4"/>
                <w:szCs w:val="14"/>
              </w:rPr>
              <w:t xml:space="preserve">PRIMARY TASK</w:t>
            </w:r>
          </w:p>
        </w:tc>
        <w:tc>
          <w:tcPr>
            <w:tcW w:type="dxa" w:w="8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4"/>
                <w:szCs w:val="14"/>
              </w:rPr>
              <w:t xml:space="preserve">URGENCY</w:t>
            </w:r>
          </w:p>
        </w:tc>
        <w:tc>
          <w:tcPr>
            <w:tcW w:type="dxa" w:w="20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4"/>
                <w:szCs w:val="14"/>
              </w:rPr>
              <w:t xml:space="preserve">THEIR TERMINOLOGY</w:t>
            </w:r>
          </w:p>
        </w:tc>
        <w:tc>
          <w:tcPr>
            <w:tcW w:type="dxa" w:w="369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4"/>
                <w:szCs w:val="14"/>
              </w:rPr>
              <w:t xml:space="preserve">WHERE CURRENT NAV FAILS</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New patient
(health anxiety)</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Do I need a GI doctor? Can I book here?</w:t>
            </w:r>
          </w:p>
        </w:tc>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bCs/>
                <w:color w:val="DC2626"/>
                <w:sz w:val="17"/>
                <w:szCs w:val="17"/>
              </w:rPr>
              <w:t xml:space="preserve">HIGH</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"stomach pain", "acid reflux", "bloating"</w:t>
            </w:r>
          </w:p>
        </w:tc>
        <w:tc>
          <w:tcPr>
            <w:tcW w:type="dxa" w:w="36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"Treatments" doesn't map to symptoms. "Our Team" doesn't mean find a doctor near me.</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Existing patient
(post-visit)</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Portal login, pay bill, get results</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bCs/>
                <w:color w:val="D97706"/>
                <w:sz w:val="17"/>
                <w:szCs w:val="17"/>
              </w:rPr>
              <w:t xml:space="preserve">MED</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"patient portal", "pay bill", "my results"</w:t>
            </w:r>
          </w:p>
        </w:tc>
        <w:tc>
          <w:tcPr>
            <w:tcW w:type="dxa" w:w="36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Portal &amp; Pay bill are utility-only. No Patient resources section. Must scan the utility bar.</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Referring provider
(professional)</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Refer a patient, download form, verify specialties</w:t>
            </w:r>
          </w:p>
        </w:tc>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bCs/>
                <w:color w:val="059669"/>
                <w:sz w:val="17"/>
                <w:szCs w:val="17"/>
              </w:rPr>
              <w:t xml:space="preserve">LOW</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"referral form", "GI specialist"</w:t>
            </w:r>
          </w:p>
        </w:tc>
        <w:tc>
          <w:tcPr>
            <w:tcW w:type="dxa" w:w="36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7"/>
                <w:szCs w:val="17"/>
              </w:rPr>
              <w:t xml:space="preserve">"Referring Providers" is utility-bar only — low visibility for a high-value audience.</w:t>
            </w:r>
          </w:p>
        </w:tc>
      </w:tr>
    </w:tbl>
    <w:p>
      <w:pPr>
        <w:spacing w:after="16" w:before="0"/>
      </w:pPr>
      <w:r>
        <w:t xml:space="preserve"/>
      </w:r>
    </w:p>
    <w:p>
      <w:pPr>
        <w:pStyle w:val="Heading2"/>
        <w:spacing w:after="12" w:before="28"/>
      </w:pPr>
      <w:r>
        <w:rPr>
          <w:rFonts w:ascii="Georgia" w:cs="Georgia" w:eastAsia="Georgia" w:hAnsi="Georgia"/>
          <w:color w:val="313956"/>
          <w:sz w:val="28"/>
          <w:szCs w:val="28"/>
        </w:rPr>
        <w:t xml:space="preserve">The word in their head — the core labelling test</w:t>
      </w:r>
    </w:p>
    <w:p>
      <w:pPr>
        <w:spacing w:after="14" w:before="0" w:line="320" w:lineRule="auto"/>
      </w:pPr>
      <w:r>
        <w:rPr>
          <w:rFonts w:ascii="Corbel" w:cs="Corbel" w:eastAsia="Corbel" w:hAnsi="Corbel"/>
          <w:color w:val="1A1A1A"/>
          <w:sz w:val="21"/>
          <w:szCs w:val="21"/>
        </w:rPr>
        <w:t xml:space="preserve">The central labelling principle is this: users come to a site with a word already in their head. If they don't immediately see it, they leave.</w:t>
      </w:r>
    </w:p>
    <w:p>
      <w:pPr>
        <w:spacing w:after="14" w:before="0" w:line="320" w:lineRule="auto"/>
      </w:pPr>
      <w:r>
        <w:rPr>
          <w:rFonts w:ascii="Corbel" w:cs="Corbel" w:eastAsia="Corbel" w:hAnsi="Corbel"/>
          <w:color w:val="1A1A1A"/>
          <w:sz w:val="21"/>
          <w:szCs w:val="21"/>
        </w:rPr>
        <w:t xml:space="preserve">Applied to GI Partners — a new patient with acid reflux has the word "reflux" or "stomach" in their head. They encounter "Treatments." The word doesn't match. They pause. Some will figure it out. Many will leave or use the search bar instead of browse.</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tcPr>
          <w:p>
            <w:pPr>
              <w:spacing w:after="0" w:before="0"/>
            </w:pPr>
            <w:r>
              <w:rPr>
                <w:rFonts w:ascii="Trebuchet MS" w:cs="Trebuchet MS" w:eastAsia="Trebuchet MS" w:hAnsi="Trebuchet MS"/>
                <w:b/>
                <w:bCs/>
                <w:color w:val="DC2626"/>
                <w:spacing w:val="40"/>
                <w:sz w:val="15"/>
                <w:szCs w:val="15"/>
              </w:rPr>
              <w:t xml:space="preserve">CURRENT NAV — FAILS THE TEST</w:t>
            </w:r>
          </w:p>
        </w:tc>
        <w:tc>
          <w:tcPr>
            <w:tcW w:type="dxa" w:w="4945"/>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0" w:before="0"/>
            </w:pPr>
            <w:r>
              <w:rPr>
                <w:rFonts w:ascii="Trebuchet MS" w:cs="Trebuchet MS" w:eastAsia="Trebuchet MS" w:hAnsi="Trebuchet MS"/>
                <w:b/>
                <w:bCs/>
                <w:color w:val="059669"/>
                <w:spacing w:val="40"/>
                <w:sz w:val="15"/>
                <w:szCs w:val="15"/>
              </w:rPr>
              <w:t xml:space="preserve">PROPOSED NAV — PASSES THE TEST</w:t>
            </w:r>
          </w:p>
        </w:tc>
      </w:tr>
      <w:tr>
        <w:tc>
          <w:tcPr>
            <w:tcW w:type="dxa" w:w="4945"/>
            <w:tcBorders>
              <w:top w:val="single" w:color="E5E7EB" w:sz="4"/>
              <w:left w:val="single" w:color="E5E7EB" w:sz="4"/>
              <w:bottom w:val="single" w:color="E5E7EB" w:sz="4"/>
              <w:right w:val="single" w:color="E5E7EB" w:sz="4"/>
            </w:tcBorders>
            <w:tcMar>
              <w:top w:type="dxa" w:w="120"/>
              <w:left w:type="dxa" w:w="160"/>
              <w:bottom w:type="dxa" w:w="120"/>
              <w:right w:type="dxa" w:w="100"/>
            </w:tcMar>
          </w:tcPr>
          <w:p>
            <w:pPr>
              <w:spacing w:after="8" w:before="0" w:line="276" w:lineRule="auto"/>
            </w:pPr>
            <w:r>
              <w:rPr>
                <w:rFonts w:ascii="Trebuchet MS" w:cs="Trebuchet MS" w:eastAsia="Trebuchet MS" w:hAnsi="Trebuchet MS"/>
                <w:b/>
                <w:bCs/>
                <w:color w:val="DC2626"/>
                <w:sz w:val="18"/>
                <w:szCs w:val="18"/>
              </w:rPr>
              <w:t xml:space="preserve">✗  </w:t>
            </w:r>
            <w:r>
              <w:rPr>
                <w:rFonts w:ascii="Corbel" w:cs="Corbel" w:eastAsia="Corbel" w:hAnsi="Corbel"/>
                <w:color w:val="374141"/>
                <w:sz w:val="17"/>
                <w:szCs w:val="17"/>
              </w:rPr>
              <w:t xml:space="preserve">Locations — shows brand names (North Shore Center, GI Solutions)</w:t>
            </w:r>
          </w:p>
          <w:p>
            <w:pPr>
              <w:spacing w:after="8" w:before="0" w:line="276" w:lineRule="auto"/>
            </w:pPr>
            <w:r>
              <w:rPr>
                <w:rFonts w:ascii="Trebuchet MS" w:cs="Trebuchet MS" w:eastAsia="Trebuchet MS" w:hAnsi="Trebuchet MS"/>
                <w:b/>
                <w:bCs/>
                <w:color w:val="DC2626"/>
                <w:sz w:val="18"/>
                <w:szCs w:val="18"/>
              </w:rPr>
              <w:t xml:space="preserve">✗  </w:t>
            </w:r>
            <w:r>
              <w:rPr>
                <w:rFonts w:ascii="Corbel" w:cs="Corbel" w:eastAsia="Corbel" w:hAnsi="Corbel"/>
                <w:color w:val="374141"/>
                <w:sz w:val="17"/>
                <w:szCs w:val="17"/>
              </w:rPr>
              <w:t xml:space="preserve">Our Team — vague; patient wants "find a doctor near me"</w:t>
            </w:r>
          </w:p>
          <w:p>
            <w:pPr>
              <w:spacing w:after="8" w:before="0" w:line="276" w:lineRule="auto"/>
            </w:pPr>
            <w:r>
              <w:rPr>
                <w:rFonts w:ascii="Trebuchet MS" w:cs="Trebuchet MS" w:eastAsia="Trebuchet MS" w:hAnsi="Trebuchet MS"/>
                <w:b/>
                <w:bCs/>
                <w:color w:val="DC2626"/>
                <w:sz w:val="18"/>
                <w:szCs w:val="18"/>
              </w:rPr>
              <w:t xml:space="preserve">✗  </w:t>
            </w:r>
            <w:r>
              <w:rPr>
                <w:rFonts w:ascii="Corbel" w:cs="Corbel" w:eastAsia="Corbel" w:hAnsi="Corbel"/>
                <w:color w:val="374141"/>
                <w:sz w:val="17"/>
                <w:szCs w:val="17"/>
              </w:rPr>
              <w:t xml:space="preserve">Treatments — clinical; patient wants "I have a symptom"</w:t>
            </w:r>
          </w:p>
          <w:p>
            <w:pPr>
              <w:spacing w:after="8" w:before="0" w:line="276" w:lineRule="auto"/>
            </w:pPr>
            <w:r>
              <w:rPr>
                <w:rFonts w:ascii="Trebuchet MS" w:cs="Trebuchet MS" w:eastAsia="Trebuchet MS" w:hAnsi="Trebuchet MS"/>
                <w:b/>
                <w:bCs/>
                <w:color w:val="D97706"/>
                <w:sz w:val="18"/>
                <w:szCs w:val="18"/>
              </w:rPr>
              <w:t xml:space="preserve">~  </w:t>
            </w:r>
            <w:r>
              <w:rPr>
                <w:rFonts w:ascii="Corbel" w:cs="Corbel" w:eastAsia="Corbel" w:hAnsi="Corbel"/>
                <w:color w:val="374141"/>
                <w:sz w:val="17"/>
                <w:szCs w:val="17"/>
              </w:rPr>
              <w:t xml:space="preserve">About Us — contains Contact, Careers, News, CEO message, Blog</w:t>
            </w:r>
          </w:p>
          <w:p>
            <w:pPr>
              <w:spacing w:after="8" w:before="0" w:line="276" w:lineRule="auto"/>
            </w:pPr>
            <w:r>
              <w:rPr>
                <w:rFonts w:ascii="Trebuchet MS" w:cs="Trebuchet MS" w:eastAsia="Trebuchet MS" w:hAnsi="Trebuchet MS"/>
                <w:b/>
                <w:bCs/>
                <w:color w:val="DC2626"/>
                <w:sz w:val="18"/>
                <w:szCs w:val="18"/>
              </w:rPr>
              <w:t xml:space="preserve">✗  </w:t>
            </w:r>
            <w:r>
              <w:rPr>
                <w:rFonts w:ascii="Corbel" w:cs="Corbel" w:eastAsia="Corbel" w:hAnsi="Corbel"/>
                <w:color w:val="374141"/>
                <w:sz w:val="17"/>
                <w:szCs w:val="17"/>
              </w:rPr>
              <w:t xml:space="preserve">In The News — top-level; serves journalists not patients</w:t>
            </w:r>
          </w:p>
        </w:tc>
        <w:tc>
          <w:tcPr>
            <w:tcW w:type="dxa" w:w="4945"/>
            <w:tcBorders>
              <w:top w:val="single" w:color="E5E7EB" w:sz="4"/>
              <w:left w:val="single" w:color="E5E7EB" w:sz="4"/>
              <w:bottom w:val="single" w:color="E5E7EB" w:sz="4"/>
              <w:right w:val="single" w:color="E5E7EB" w:sz="4"/>
            </w:tcBorders>
            <w:tcMar>
              <w:top w:type="dxa" w:w="120"/>
              <w:left w:type="dxa" w:w="160"/>
              <w:bottom w:type="dxa" w:w="120"/>
              <w:right w:type="dxa" w:w="100"/>
            </w:tcMar>
          </w:tcPr>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Find a doctor — user's exact language</w:t>
            </w:r>
          </w:p>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Locations — geography-first with region filters</w:t>
            </w:r>
          </w:p>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Digestive health — Symptoms / Conditions / Procedures inside</w:t>
            </w:r>
          </w:p>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Patient resources — Portal, Pay bill, Insurance, FAQs consolidated</w:t>
            </w:r>
          </w:p>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About us — Why us, Leadership, News &amp; press, Careers only</w:t>
            </w:r>
          </w:p>
          <w:p>
            <w:pPr>
              <w:spacing w:after="8" w:before="0" w:line="276" w:lineRule="auto"/>
            </w:pPr>
            <w:r>
              <w:rPr>
                <w:rFonts w:ascii="Trebuchet MS" w:cs="Trebuchet MS" w:eastAsia="Trebuchet MS" w:hAnsi="Trebuchet MS"/>
                <w:b/>
                <w:bCs/>
                <w:color w:val="059669"/>
                <w:sz w:val="18"/>
                <w:szCs w:val="18"/>
              </w:rPr>
              <w:t xml:space="preserve">✓  </w:t>
            </w:r>
            <w:r>
              <w:rPr>
                <w:rFonts w:ascii="Corbel" w:cs="Corbel" w:eastAsia="Corbel" w:hAnsi="Corbel"/>
                <w:color w:val="374141"/>
                <w:sz w:val="17"/>
                <w:szCs w:val="17"/>
              </w:rPr>
              <w:t xml:space="preserve">Contact — standalone, never buried</w:t>
            </w:r>
          </w:p>
        </w:tc>
      </w:tr>
    </w:tbl>
    <w:p>
      <w:pPr>
        <w:spacing w:after="16" w:before="0"/>
      </w:pPr>
      <w:r>
        <w:t xml:space="preserve"/>
      </w:r>
    </w:p>
    <w:p>
      <w:r>
        <w:br w:type="page"/>
      </w:r>
    </w:p>
    <w:p>
      <w:pPr>
        <w:spacing w:after="8" w:before="32"/>
      </w:pPr>
      <w:r>
        <w:rPr>
          <w:rFonts w:ascii="Trebuchet MS" w:cs="Trebuchet MS" w:eastAsia="Trebuchet MS" w:hAnsi="Trebuchet MS"/>
          <w:b/>
          <w:bCs/>
          <w:caps/>
          <w:color w:val="D65729"/>
          <w:sz w:val="16"/>
          <w:szCs w:val="16"/>
        </w:rPr>
        <w:t xml:space="preserve">03  </w:t>
      </w:r>
      <w:r>
        <w:rPr>
          <w:rFonts w:ascii="Trebuchet MS" w:cs="Trebuchet MS" w:eastAsia="Trebuchet MS" w:hAnsi="Trebuchet MS"/>
          <w:color w:val="6B7280"/>
          <w:sz w:val="16"/>
          <w:szCs w:val="16"/>
        </w:rPr>
        <w:t xml:space="preserve">— Issues Found</w:t>
      </w:r>
    </w:p>
    <w:p>
      <w:pPr>
        <w:pStyle w:val="Heading1"/>
        <w:spacing w:after="20" w:before="12"/>
      </w:pPr>
      <w:r>
        <w:rPr>
          <w:rFonts w:ascii="Georgia" w:cs="Georgia" w:eastAsia="Georgia" w:hAnsi="Georgia"/>
          <w:b w:val="false"/>
          <w:bCs w:val="false"/>
          <w:color w:val="313956"/>
          <w:sz w:val="44"/>
          <w:szCs w:val="44"/>
        </w:rPr>
        <w:t xml:space="preserve">Five IA violations. </w:t>
      </w:r>
      <w:r>
        <w:rPr>
          <w:rFonts w:ascii="Georgia" w:cs="Georgia" w:eastAsia="Georgia" w:hAnsi="Georgia"/>
          <w:i/>
          <w:iCs/>
          <w:color w:val="15545E"/>
          <w:sz w:val="44"/>
          <w:szCs w:val="44"/>
        </w:rPr>
        <w:t xml:space="preserve">Two are critical.</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E5E7EB" w:sz="4"/>
              <w:left w:val="single" w:color="E5E7EB" w:sz="4"/>
              <w:bottom w:val="single" w:color="E5E7EB" w:sz="4"/>
              <w:right w:val="single" w:color="E5E7EB" w:sz="4"/>
            </w:tcBorders>
            <w:shd w:fill="F8FAFC" w:val="clear"/>
            <w:tcMar>
              <w:top w:type="dxa" w:w="80"/>
              <w:left w:type="dxa" w:w="160"/>
              <w:bottom w:type="dxa" w:w="80"/>
              <w:right w:type="dxa" w:w="160"/>
            </w:tcMar>
          </w:tcPr>
          <w:p>
            <w:pPr>
              <w:spacing w:after="4" w:before="0"/>
            </w:pPr>
            <w:r>
              <w:rPr>
                <w:rFonts w:ascii="Trebuchet MS" w:cs="Trebuchet MS" w:eastAsia="Trebuchet MS" w:hAnsi="Trebuchet MS"/>
                <w:b/>
                <w:bCs/>
                <w:color w:val="6B7280"/>
                <w:sz w:val="18"/>
                <w:szCs w:val="18"/>
              </w:rPr>
              <w:t xml:space="preserve">1. </w:t>
            </w:r>
            <w:r>
              <w:rPr>
                <w:rFonts w:ascii="Trebuchet MS" w:cs="Trebuchet MS" w:eastAsia="Trebuchet MS" w:hAnsi="Trebuchet MS"/>
                <w:b/>
                <w:bCs/>
                <w:color w:val="313956"/>
                <w:sz w:val="20"/>
                <w:szCs w:val="20"/>
              </w:rPr>
              <w:t xml:space="preserve">Locations organised by brand name, not geography</w:t>
            </w:r>
            <w:r>
              <w:rPr>
                <w:rFonts w:ascii="Trebuchet MS" w:cs="Trebuchet MS" w:eastAsia="Trebuchet MS" w:hAnsi="Trebuchet MS"/>
                <w:b/>
                <w:bCs/>
                <w:color w:val="DC2626"/>
                <w:sz w:val="16"/>
                <w:szCs w:val="16"/>
              </w:rPr>
              <w:t xml:space="preserve">  [HIGH SEVERITY]</w:t>
            </w:r>
          </w:p>
          <w:p>
            <w:pPr>
              <w:spacing w:after="0" w:before="0"/>
            </w:pPr>
            <w:r>
              <w:rPr>
                <w:rFonts w:ascii="Trebuchet MS" w:cs="Trebuchet MS" w:eastAsia="Trebuchet MS" w:hAnsi="Trebuchet MS"/>
                <w:color w:val="6B7280"/>
                <w:sz w:val="16"/>
                <w:szCs w:val="16"/>
              </w:rPr>
              <w:t xml:space="preserve">Primary nav → Locations mega-menu</w:t>
            </w:r>
          </w:p>
        </w:tc>
      </w:tr>
      <w:tr>
        <w:tc>
          <w:tcPr>
            <w:tcW w:type="dxa" w:w="9890"/>
            <w:tcBorders>
              <w:top w:val="none" w:color="FFFFFF" w:sz="0"/>
              <w:left w:val="single" w:color="E5E7EB" w:sz="4"/>
              <w:bottom w:val="single" w:color="E5E7EB" w:sz="4"/>
              <w:right w:val="single" w:color="E5E7EB" w:sz="4"/>
            </w:tcBorders>
            <w:tcMar>
              <w:top w:type="dxa" w:w="80"/>
              <w:left w:type="dxa" w:w="160"/>
              <w:bottom w:type="dxa" w:w="80"/>
              <w:right w:type="dxa" w:w="160"/>
            </w:tcMar>
          </w:tcPr>
          <w:p>
            <w:pPr>
              <w:spacing w:after="0" w:before="0" w:line="276" w:lineRule="auto"/>
            </w:pPr>
            <w:r>
              <w:rPr>
                <w:rFonts w:ascii="Corbel" w:cs="Corbel" w:eastAsia="Corbel" w:hAnsi="Corbel"/>
                <w:color w:val="374151"/>
                <w:sz w:val="20"/>
                <w:szCs w:val="20"/>
              </w:rPr>
              <w:t xml:space="preserve">The dropdown lists practice names — North Shore Center for Gastroenterology, GI Solutions, Southwest Gastroenterology — as primary labels. These are internal brand identifiers that new patients have never heard of. A patient in Oak Brook doesn't know they want "Southwest Gastroenterology" until after they've found it by location.</w:t>
            </w:r>
          </w:p>
        </w:tc>
      </w:tr>
    </w:tbl>
    <w:p>
      <w:pPr>
        <w:spacing w:after="4"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45"/>
        <w:gridCol w:w="5045"/>
      </w:tblGrid>
      <w:tr>
        <w:tc>
          <w:tcPr>
            <w:tcW w:type="dxa" w:w="4845"/>
            <w:tcBorders>
              <w:top w:val="single" w:color="FECACA" w:sz="4"/>
              <w:left w:val="single" w:color="FECACA" w:sz="4"/>
              <w:bottom w:val="single" w:color="FECACA" w:sz="4"/>
              <w:right w:val="single" w:color="FECACA" w:sz="4"/>
            </w:tcBorders>
            <w:shd w:fill="FEF2F2" w:val="clear"/>
            <w:tcMar>
              <w:top w:type="dxa" w:w="100"/>
              <w:left w:type="dxa" w:w="140"/>
              <w:bottom w:type="dxa" w:w="100"/>
              <w:right w:type="dxa" w:w="140"/>
            </w:tcMar>
          </w:tcPr>
          <w:p>
            <w:pPr>
              <w:spacing w:after="6" w:before="0"/>
            </w:pPr>
            <w:r>
              <w:rPr>
                <w:rFonts w:ascii="Trebuchet MS" w:cs="Trebuchet MS" w:eastAsia="Trebuchet MS" w:hAnsi="Trebuchet MS"/>
                <w:b/>
                <w:bCs/>
                <w:color w:val="DC2626"/>
                <w:sz w:val="15"/>
                <w:szCs w:val="15"/>
              </w:rPr>
              <w:t xml:space="preserve">CURRENT STATE</w:t>
            </w:r>
          </w:p>
          <w:p>
            <w:pPr>
              <w:spacing w:after="0" w:before="0" w:line="276" w:lineRule="auto"/>
            </w:pPr>
            <w:r>
              <w:rPr>
                <w:rFonts w:ascii="Corbel" w:cs="Corbel" w:eastAsia="Corbel" w:hAnsi="Corbel"/>
                <w:color w:val="3D1010"/>
                <w:sz w:val="20"/>
                <w:szCs w:val="20"/>
              </w:rPr>
              <w:t xml:space="preserve">The dropdown lists practice names — North Shore Center for Gastroenterology, GI Solutions, Southwest Gastroenterology — as primary labels. These are internal brand identifiers that new patients have never heard of. A patient in Oak Brook doesn't know they want "Southwest Gastroenterology" until after they've found it by location.</w:t>
            </w:r>
          </w:p>
        </w:tc>
        <w:tc>
          <w:tcPr>
            <w:tcW w:type="dxa" w:w="5045"/>
            <w:tcBorders>
              <w:top w:val="single" w:color="A7F3D0" w:sz="4"/>
              <w:left w:val="single" w:color="A7F3D0" w:sz="4"/>
              <w:bottom w:val="single" w:color="A7F3D0" w:sz="4"/>
              <w:right w:val="single" w:color="A7F3D0" w:sz="4"/>
            </w:tcBorders>
            <w:shd w:fill="ECFDF5" w:val="clear"/>
            <w:tcMar>
              <w:top w:type="dxa" w:w="100"/>
              <w:left w:type="dxa" w:w="140"/>
              <w:bottom w:type="dxa" w:w="100"/>
              <w:right w:type="dxa" w:w="140"/>
            </w:tcMar>
          </w:tcPr>
          <w:p>
            <w:pPr>
              <w:spacing w:after="6" w:before="0"/>
            </w:pPr>
            <w:r>
              <w:rPr>
                <w:rFonts w:ascii="Trebuchet MS" w:cs="Trebuchet MS" w:eastAsia="Trebuchet MS" w:hAnsi="Trebuchet MS"/>
                <w:b/>
                <w:bCs/>
                <w:color w:val="059669"/>
                <w:sz w:val="15"/>
                <w:szCs w:val="15"/>
              </w:rPr>
              <w:t xml:space="preserve">RECOMMENDED FIX</w:t>
            </w:r>
          </w:p>
          <w:p>
            <w:pPr>
              <w:spacing w:after="0" w:before="0" w:line="276" w:lineRule="auto"/>
            </w:pPr>
            <w:r>
              <w:rPr>
                <w:rFonts w:ascii="Corbel" w:cs="Corbel" w:eastAsia="Corbel" w:hAnsi="Corbel"/>
                <w:color w:val="0A3327"/>
                <w:sz w:val="20"/>
                <w:szCs w:val="20"/>
              </w:rPr>
              <w:t xml:space="preserve">Region filter pills first (North / Northwest / Chicago / South &amp; West) → city names prominent → practice name as secondary descriptor.</w:t>
            </w:r>
          </w:p>
        </w:tc>
      </w:tr>
    </w:tbl>
    <w:p>
      <w:pPr>
        <w:spacing w:after="4" w:before="0"/>
      </w:pPr>
      <w:r>
        <w:t xml:space="preserve"/>
      </w:r>
    </w:p>
    <w:p>
      <w:pPr>
        <w:spacing w:after="20" w:before="0"/>
      </w:pPr>
      <w:r>
        <w:rPr>
          <w:rFonts w:ascii="Trebuchet MS" w:cs="Trebuchet MS" w:eastAsia="Trebuchet MS" w:hAnsi="Trebuchet MS"/>
          <w:b/>
          <w:bCs/>
          <w:color w:val="15545E"/>
          <w:sz w:val="17"/>
          <w:szCs w:val="17"/>
        </w:rPr>
        <w:t xml:space="preserve">Principle: </w:t>
      </w:r>
      <w:r>
        <w:rPr>
          <w:rFonts w:ascii="Corbel" w:cs="Corbel" w:eastAsia="Corbel" w:hAnsi="Corbel"/>
          <w:i/>
          <w:iCs/>
          <w:color w:val="6B7280"/>
          <w:sz w:val="18"/>
          <w:szCs w:val="18"/>
        </w:rPr>
        <w:t xml:space="preserve">Group according to user mental models, not org structure. Users think geographically. The organisation thinks in brand names.</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E5E7EB" w:sz="4"/>
              <w:left w:val="single" w:color="E5E7EB" w:sz="4"/>
              <w:bottom w:val="single" w:color="E5E7EB" w:sz="4"/>
              <w:right w:val="single" w:color="E5E7EB" w:sz="4"/>
            </w:tcBorders>
            <w:shd w:fill="F8FAFC" w:val="clear"/>
            <w:tcMar>
              <w:top w:type="dxa" w:w="80"/>
              <w:left w:type="dxa" w:w="160"/>
              <w:bottom w:type="dxa" w:w="80"/>
              <w:right w:type="dxa" w:w="160"/>
            </w:tcMar>
          </w:tcPr>
          <w:p>
            <w:pPr>
              <w:spacing w:after="4" w:before="0"/>
            </w:pPr>
            <w:r>
              <w:rPr>
                <w:rFonts w:ascii="Trebuchet MS" w:cs="Trebuchet MS" w:eastAsia="Trebuchet MS" w:hAnsi="Trebuchet MS"/>
                <w:b/>
                <w:bCs/>
                <w:color w:val="6B7280"/>
                <w:sz w:val="18"/>
                <w:szCs w:val="18"/>
              </w:rPr>
              <w:t xml:space="preserve">2. </w:t>
            </w:r>
            <w:r>
              <w:rPr>
                <w:rFonts w:ascii="Trebuchet MS" w:cs="Trebuchet MS" w:eastAsia="Trebuchet MS" w:hAnsi="Trebuchet MS"/>
                <w:b/>
                <w:bCs/>
                <w:color w:val="313956"/>
                <w:sz w:val="20"/>
                <w:szCs w:val="20"/>
              </w:rPr>
              <w:t xml:space="preserve">"Treatments" is three different things with one misleading label</w:t>
            </w:r>
            <w:r>
              <w:rPr>
                <w:rFonts w:ascii="Trebuchet MS" w:cs="Trebuchet MS" w:eastAsia="Trebuchet MS" w:hAnsi="Trebuchet MS"/>
                <w:b/>
                <w:bCs/>
                <w:color w:val="DC2626"/>
                <w:sz w:val="16"/>
                <w:szCs w:val="16"/>
              </w:rPr>
              <w:t xml:space="preserve">  [HIGH SEVERITY]</w:t>
            </w:r>
          </w:p>
          <w:p>
            <w:pPr>
              <w:spacing w:after="0" w:before="0"/>
            </w:pPr>
            <w:r>
              <w:rPr>
                <w:rFonts w:ascii="Trebuchet MS" w:cs="Trebuchet MS" w:eastAsia="Trebuchet MS" w:hAnsi="Trebuchet MS"/>
                <w:color w:val="6B7280"/>
                <w:sz w:val="16"/>
                <w:szCs w:val="16"/>
              </w:rPr>
              <w:t xml:space="preserve">Primary nav → Treatments → Symptoms / Conditions / Procedures</w:t>
            </w:r>
          </w:p>
        </w:tc>
      </w:tr>
      <w:tr>
        <w:tc>
          <w:tcPr>
            <w:tcW w:type="dxa" w:w="9890"/>
            <w:tcBorders>
              <w:top w:val="none" w:color="FFFFFF" w:sz="0"/>
              <w:left w:val="single" w:color="E5E7EB" w:sz="4"/>
              <w:bottom w:val="single" w:color="E5E7EB" w:sz="4"/>
              <w:right w:val="single" w:color="E5E7EB" w:sz="4"/>
            </w:tcBorders>
            <w:tcMar>
              <w:top w:type="dxa" w:w="80"/>
              <w:left w:type="dxa" w:w="160"/>
              <w:bottom w:type="dxa" w:w="80"/>
              <w:right w:type="dxa" w:w="160"/>
            </w:tcMar>
          </w:tcPr>
          <w:p>
            <w:pPr>
              <w:spacing w:after="0" w:before="0" w:line="276" w:lineRule="auto"/>
            </w:pPr>
            <w:r>
              <w:rPr>
                <w:rFonts w:ascii="Corbel" w:cs="Corbel" w:eastAsia="Corbel" w:hAnsi="Corbel"/>
                <w:color w:val="374151"/>
                <w:sz w:val="20"/>
                <w:szCs w:val="20"/>
              </w:rPr>
              <w:t xml:space="preserve">The word "Treatments" implies the user already knows they need a procedure. But the sub-items serve three fundamentally different intents: Symptoms (pre-diagnosis), Conditions (research / post-diagnosis), and Procedures (pre-procedure). A patient with bloating — the most common entry path — would not think to look under "Treatments."</w:t>
            </w:r>
          </w:p>
        </w:tc>
      </w:tr>
    </w:tbl>
    <w:p>
      <w:pPr>
        <w:spacing w:after="4"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45"/>
        <w:gridCol w:w="5045"/>
      </w:tblGrid>
      <w:tr>
        <w:tc>
          <w:tcPr>
            <w:tcW w:type="dxa" w:w="4845"/>
            <w:tcBorders>
              <w:top w:val="single" w:color="FECACA" w:sz="4"/>
              <w:left w:val="single" w:color="FECACA" w:sz="4"/>
              <w:bottom w:val="single" w:color="FECACA" w:sz="4"/>
              <w:right w:val="single" w:color="FECACA" w:sz="4"/>
            </w:tcBorders>
            <w:shd w:fill="FEF2F2" w:val="clear"/>
            <w:tcMar>
              <w:top w:type="dxa" w:w="100"/>
              <w:left w:type="dxa" w:w="140"/>
              <w:bottom w:type="dxa" w:w="100"/>
              <w:right w:type="dxa" w:w="140"/>
            </w:tcMar>
          </w:tcPr>
          <w:p>
            <w:pPr>
              <w:spacing w:after="6" w:before="0"/>
            </w:pPr>
            <w:r>
              <w:rPr>
                <w:rFonts w:ascii="Trebuchet MS" w:cs="Trebuchet MS" w:eastAsia="Trebuchet MS" w:hAnsi="Trebuchet MS"/>
                <w:b/>
                <w:bCs/>
                <w:color w:val="DC2626"/>
                <w:sz w:val="15"/>
                <w:szCs w:val="15"/>
              </w:rPr>
              <w:t xml:space="preserve">CURRENT STATE</w:t>
            </w:r>
          </w:p>
          <w:p>
            <w:pPr>
              <w:spacing w:after="0" w:before="0" w:line="276" w:lineRule="auto"/>
            </w:pPr>
            <w:r>
              <w:rPr>
                <w:rFonts w:ascii="Corbel" w:cs="Corbel" w:eastAsia="Corbel" w:hAnsi="Corbel"/>
                <w:color w:val="3D1010"/>
                <w:sz w:val="20"/>
                <w:szCs w:val="20"/>
              </w:rPr>
              <w:t xml:space="preserve">The word "Treatments" implies the user already knows they need a procedure. But the sub-items serve three fundamentally different intents: Symptoms (pre-diagnosis), Conditions (research / post-diagnosis), and Procedures (pre-procedure). A patient with bloating — the most common entry path — would not think to look under "Treatments."</w:t>
            </w:r>
          </w:p>
        </w:tc>
        <w:tc>
          <w:tcPr>
            <w:tcW w:type="dxa" w:w="5045"/>
            <w:tcBorders>
              <w:top w:val="single" w:color="A7F3D0" w:sz="4"/>
              <w:left w:val="single" w:color="A7F3D0" w:sz="4"/>
              <w:bottom w:val="single" w:color="A7F3D0" w:sz="4"/>
              <w:right w:val="single" w:color="A7F3D0" w:sz="4"/>
            </w:tcBorders>
            <w:shd w:fill="ECFDF5" w:val="clear"/>
            <w:tcMar>
              <w:top w:type="dxa" w:w="100"/>
              <w:left w:type="dxa" w:w="140"/>
              <w:bottom w:type="dxa" w:w="100"/>
              <w:right w:type="dxa" w:w="140"/>
            </w:tcMar>
          </w:tcPr>
          <w:p>
            <w:pPr>
              <w:spacing w:after="6" w:before="0"/>
            </w:pPr>
            <w:r>
              <w:rPr>
                <w:rFonts w:ascii="Trebuchet MS" w:cs="Trebuchet MS" w:eastAsia="Trebuchet MS" w:hAnsi="Trebuchet MS"/>
                <w:b/>
                <w:bCs/>
                <w:color w:val="059669"/>
                <w:sz w:val="15"/>
                <w:szCs w:val="15"/>
              </w:rPr>
              <w:t xml:space="preserve">RECOMMENDED FIX</w:t>
            </w:r>
          </w:p>
          <w:p>
            <w:pPr>
              <w:spacing w:after="0" w:before="0" w:line="276" w:lineRule="auto"/>
            </w:pPr>
            <w:r>
              <w:rPr>
                <w:rFonts w:ascii="Corbel" w:cs="Corbel" w:eastAsia="Corbel" w:hAnsi="Corbel"/>
                <w:color w:val="0A3327"/>
                <w:sz w:val="20"/>
                <w:szCs w:val="20"/>
              </w:rPr>
              <w:t xml:space="preserve">Rename to "Digestive health." Present Symptoms prominently with the copy: "What are you experiencing?" Add a symptom search CTA at the bottom of the dropdown.</w:t>
            </w:r>
          </w:p>
        </w:tc>
      </w:tr>
    </w:tbl>
    <w:p>
      <w:pPr>
        <w:spacing w:after="4" w:before="0"/>
      </w:pPr>
      <w:r>
        <w:t xml:space="preserve"/>
      </w:r>
    </w:p>
    <w:p>
      <w:pPr>
        <w:spacing w:after="20" w:before="0"/>
      </w:pPr>
      <w:r>
        <w:rPr>
          <w:rFonts w:ascii="Trebuchet MS" w:cs="Trebuchet MS" w:eastAsia="Trebuchet MS" w:hAnsi="Trebuchet MS"/>
          <w:b/>
          <w:bCs/>
          <w:color w:val="15545E"/>
          <w:sz w:val="17"/>
          <w:szCs w:val="17"/>
        </w:rPr>
        <w:t xml:space="preserve">Principle: </w:t>
      </w:r>
      <w:r>
        <w:rPr>
          <w:rFonts w:ascii="Corbel" w:cs="Corbel" w:eastAsia="Corbel" w:hAnsi="Corbel"/>
          <w:i/>
          <w:iCs/>
          <w:color w:val="6B7280"/>
          <w:sz w:val="18"/>
          <w:szCs w:val="18"/>
        </w:rPr>
        <w:t xml:space="preserve">"The word in their head" — patients have a symptom in mind, not a treatment. The label must match the entry intent, not the destination content type.</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E5E7EB" w:sz="4"/>
              <w:left w:val="single" w:color="E5E7EB" w:sz="4"/>
              <w:bottom w:val="single" w:color="E5E7EB" w:sz="4"/>
              <w:right w:val="single" w:color="E5E7EB" w:sz="4"/>
            </w:tcBorders>
            <w:shd w:fill="F8FAFC" w:val="clear"/>
            <w:tcMar>
              <w:top w:type="dxa" w:w="80"/>
              <w:left w:type="dxa" w:w="160"/>
              <w:bottom w:type="dxa" w:w="80"/>
              <w:right w:type="dxa" w:w="160"/>
            </w:tcMar>
          </w:tcPr>
          <w:p>
            <w:pPr>
              <w:spacing w:after="4" w:before="0"/>
            </w:pPr>
            <w:r>
              <w:rPr>
                <w:rFonts w:ascii="Trebuchet MS" w:cs="Trebuchet MS" w:eastAsia="Trebuchet MS" w:hAnsi="Trebuchet MS"/>
                <w:b/>
                <w:bCs/>
                <w:color w:val="6B7280"/>
                <w:sz w:val="18"/>
                <w:szCs w:val="18"/>
              </w:rPr>
              <w:t xml:space="preserve">3. </w:t>
            </w:r>
            <w:r>
              <w:rPr>
                <w:rFonts w:ascii="Trebuchet MS" w:cs="Trebuchet MS" w:eastAsia="Trebuchet MS" w:hAnsi="Trebuchet MS"/>
                <w:b/>
                <w:bCs/>
                <w:color w:val="313956"/>
                <w:sz w:val="20"/>
                <w:szCs w:val="20"/>
              </w:rPr>
              <w:t xml:space="preserve">"About Us" is a dumping ground for 7 unrelated items</w:t>
            </w:r>
            <w:r>
              <w:rPr>
                <w:rFonts w:ascii="Trebuchet MS" w:cs="Trebuchet MS" w:eastAsia="Trebuchet MS" w:hAnsi="Trebuchet MS"/>
                <w:b/>
                <w:bCs/>
                <w:color w:val="D97706"/>
                <w:sz w:val="16"/>
                <w:szCs w:val="16"/>
              </w:rPr>
              <w:t xml:space="preserve">  [MEDIUM SEVERITY]</w:t>
            </w:r>
          </w:p>
          <w:p>
            <w:pPr>
              <w:spacing w:after="0" w:before="0"/>
            </w:pPr>
            <w:r>
              <w:rPr>
                <w:rFonts w:ascii="Trebuchet MS" w:cs="Trebuchet MS" w:eastAsia="Trebuchet MS" w:hAnsi="Trebuchet MS"/>
                <w:color w:val="6B7280"/>
                <w:sz w:val="16"/>
                <w:szCs w:val="16"/>
              </w:rPr>
              <w:t xml:space="preserve">Primary nav → About Us → 7 sub-items</w:t>
            </w:r>
          </w:p>
        </w:tc>
      </w:tr>
      <w:tr>
        <w:tc>
          <w:tcPr>
            <w:tcW w:type="dxa" w:w="9890"/>
            <w:tcBorders>
              <w:top w:val="none" w:color="FFFFFF" w:sz="0"/>
              <w:left w:val="single" w:color="E5E7EB" w:sz="4"/>
              <w:bottom w:val="single" w:color="E5E7EB" w:sz="4"/>
              <w:right w:val="single" w:color="E5E7EB" w:sz="4"/>
            </w:tcBorders>
            <w:tcMar>
              <w:top w:type="dxa" w:w="80"/>
              <w:left w:type="dxa" w:w="160"/>
              <w:bottom w:type="dxa" w:w="80"/>
              <w:right w:type="dxa" w:w="160"/>
            </w:tcMar>
          </w:tcPr>
          <w:p>
            <w:pPr>
              <w:spacing w:after="0" w:before="0" w:line="276" w:lineRule="auto"/>
            </w:pPr>
            <w:r>
              <w:rPr>
                <w:rFonts w:ascii="Corbel" w:cs="Corbel" w:eastAsia="Corbel" w:hAnsi="Corbel"/>
                <w:color w:val="374151"/>
                <w:sz w:val="20"/>
                <w:szCs w:val="20"/>
              </w:rPr>
              <w:t xml:space="preserve">About Us currently contains: Why Choose Us, Latest Updates (blog), Gut Insights, Message from CEO, Executive Board, Join Our Team (careers), and Contact Us. These serve four completely different audiences. Contact is the highest-urgency item and should never be buried inside a secondary menu.</w:t>
            </w:r>
          </w:p>
        </w:tc>
      </w:tr>
    </w:tbl>
    <w:p>
      <w:pPr>
        <w:spacing w:after="4"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45"/>
        <w:gridCol w:w="5045"/>
      </w:tblGrid>
      <w:tr>
        <w:tc>
          <w:tcPr>
            <w:tcW w:type="dxa" w:w="4845"/>
            <w:tcBorders>
              <w:top w:val="single" w:color="FECACA" w:sz="4"/>
              <w:left w:val="single" w:color="FECACA" w:sz="4"/>
              <w:bottom w:val="single" w:color="FECACA" w:sz="4"/>
              <w:right w:val="single" w:color="FECACA" w:sz="4"/>
            </w:tcBorders>
            <w:shd w:fill="FEF2F2" w:val="clear"/>
            <w:tcMar>
              <w:top w:type="dxa" w:w="100"/>
              <w:left w:type="dxa" w:w="140"/>
              <w:bottom w:type="dxa" w:w="100"/>
              <w:right w:type="dxa" w:w="140"/>
            </w:tcMar>
          </w:tcPr>
          <w:p>
            <w:pPr>
              <w:spacing w:after="6" w:before="0"/>
            </w:pPr>
            <w:r>
              <w:rPr>
                <w:rFonts w:ascii="Trebuchet MS" w:cs="Trebuchet MS" w:eastAsia="Trebuchet MS" w:hAnsi="Trebuchet MS"/>
                <w:b/>
                <w:bCs/>
                <w:color w:val="DC2626"/>
                <w:sz w:val="15"/>
                <w:szCs w:val="15"/>
              </w:rPr>
              <w:t xml:space="preserve">CURRENT STATE</w:t>
            </w:r>
          </w:p>
          <w:p>
            <w:pPr>
              <w:spacing w:after="0" w:before="0" w:line="276" w:lineRule="auto"/>
            </w:pPr>
            <w:r>
              <w:rPr>
                <w:rFonts w:ascii="Corbel" w:cs="Corbel" w:eastAsia="Corbel" w:hAnsi="Corbel"/>
                <w:color w:val="3D1010"/>
                <w:sz w:val="20"/>
                <w:szCs w:val="20"/>
              </w:rPr>
              <w:t xml:space="preserve">About Us currently contains: Why Choose Us, Latest Updates (blog), Gut Insights, Message from CEO, Executive Board, Join Our Team (careers), and Contact Us. These serve four completely different audiences. Contact is the highest-urgency item and should never be buried inside a secondary menu.</w:t>
            </w:r>
          </w:p>
        </w:tc>
        <w:tc>
          <w:tcPr>
            <w:tcW w:type="dxa" w:w="5045"/>
            <w:tcBorders>
              <w:top w:val="single" w:color="A7F3D0" w:sz="4"/>
              <w:left w:val="single" w:color="A7F3D0" w:sz="4"/>
              <w:bottom w:val="single" w:color="A7F3D0" w:sz="4"/>
              <w:right w:val="single" w:color="A7F3D0" w:sz="4"/>
            </w:tcBorders>
            <w:shd w:fill="ECFDF5" w:val="clear"/>
            <w:tcMar>
              <w:top w:type="dxa" w:w="100"/>
              <w:left w:type="dxa" w:w="140"/>
              <w:bottom w:type="dxa" w:w="100"/>
              <w:right w:type="dxa" w:w="140"/>
            </w:tcMar>
          </w:tcPr>
          <w:p>
            <w:pPr>
              <w:spacing w:after="6" w:before="0"/>
            </w:pPr>
            <w:r>
              <w:rPr>
                <w:rFonts w:ascii="Trebuchet MS" w:cs="Trebuchet MS" w:eastAsia="Trebuchet MS" w:hAnsi="Trebuchet MS"/>
                <w:b/>
                <w:bCs/>
                <w:color w:val="059669"/>
                <w:sz w:val="15"/>
                <w:szCs w:val="15"/>
              </w:rPr>
              <w:t xml:space="preserve">RECOMMENDED FIX</w:t>
            </w:r>
          </w:p>
          <w:p>
            <w:pPr>
              <w:spacing w:after="0" w:before="0" w:line="276" w:lineRule="auto"/>
            </w:pPr>
            <w:r>
              <w:rPr>
                <w:rFonts w:ascii="Corbel" w:cs="Corbel" w:eastAsia="Corbel" w:hAnsi="Corbel"/>
                <w:color w:val="0A3327"/>
                <w:sz w:val="20"/>
                <w:szCs w:val="20"/>
              </w:rPr>
              <w:t xml:space="preserve">Pull Contact out as a standalone nav item. Move Careers to About sub-items clearly labelled. Consolidate blog and Gut Insights under News &amp; insights. About Us becomes: Why us / Leadership / News &amp; press / Careers only.</w:t>
            </w:r>
          </w:p>
        </w:tc>
      </w:tr>
    </w:tbl>
    <w:p>
      <w:pPr>
        <w:spacing w:after="4" w:before="0"/>
      </w:pPr>
      <w:r>
        <w:t xml:space="preserve"/>
      </w:r>
    </w:p>
    <w:p>
      <w:pPr>
        <w:spacing w:after="20" w:before="0"/>
      </w:pPr>
      <w:r>
        <w:rPr>
          <w:rFonts w:ascii="Trebuchet MS" w:cs="Trebuchet MS" w:eastAsia="Trebuchet MS" w:hAnsi="Trebuchet MS"/>
          <w:b/>
          <w:bCs/>
          <w:color w:val="15545E"/>
          <w:sz w:val="17"/>
          <w:szCs w:val="17"/>
        </w:rPr>
        <w:t xml:space="preserve">Principle: </w:t>
      </w:r>
      <w:r>
        <w:rPr>
          <w:rFonts w:ascii="Corbel" w:cs="Corbel" w:eastAsia="Corbel" w:hAnsi="Corbel"/>
          <w:i/>
          <w:iCs/>
          <w:color w:val="6B7280"/>
          <w:sz w:val="18"/>
          <w:szCs w:val="18"/>
        </w:rPr>
        <w:t xml:space="preserve">Bad IA is where content doesn't easily fit. Every item in a group should share the same user intent. About Us should answer who is this organisation, not act as a catch-all.</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E5E7EB" w:sz="4"/>
              <w:left w:val="single" w:color="E5E7EB" w:sz="4"/>
              <w:bottom w:val="single" w:color="E5E7EB" w:sz="4"/>
              <w:right w:val="single" w:color="E5E7EB" w:sz="4"/>
            </w:tcBorders>
            <w:shd w:fill="F8FAFC" w:val="clear"/>
            <w:tcMar>
              <w:top w:type="dxa" w:w="80"/>
              <w:left w:type="dxa" w:w="160"/>
              <w:bottom w:type="dxa" w:w="80"/>
              <w:right w:type="dxa" w:w="160"/>
            </w:tcMar>
          </w:tcPr>
          <w:p>
            <w:pPr>
              <w:spacing w:after="4" w:before="0"/>
            </w:pPr>
            <w:r>
              <w:rPr>
                <w:rFonts w:ascii="Trebuchet MS" w:cs="Trebuchet MS" w:eastAsia="Trebuchet MS" w:hAnsi="Trebuchet MS"/>
                <w:b/>
                <w:bCs/>
                <w:color w:val="6B7280"/>
                <w:sz w:val="18"/>
                <w:szCs w:val="18"/>
              </w:rPr>
              <w:t xml:space="preserve">4. </w:t>
            </w:r>
            <w:r>
              <w:rPr>
                <w:rFonts w:ascii="Trebuchet MS" w:cs="Trebuchet MS" w:eastAsia="Trebuchet MS" w:hAnsi="Trebuchet MS"/>
                <w:b/>
                <w:bCs/>
                <w:color w:val="313956"/>
                <w:sz w:val="20"/>
                <w:szCs w:val="20"/>
              </w:rPr>
              <w:t xml:space="preserve">Two parallel nav systems causing overlap and confusion</w:t>
            </w:r>
            <w:r>
              <w:rPr>
                <w:rFonts w:ascii="Trebuchet MS" w:cs="Trebuchet MS" w:eastAsia="Trebuchet MS" w:hAnsi="Trebuchet MS"/>
                <w:b/>
                <w:bCs/>
                <w:color w:val="D97706"/>
                <w:sz w:val="16"/>
                <w:szCs w:val="16"/>
              </w:rPr>
              <w:t xml:space="preserve">  [MEDIUM SEVERITY]</w:t>
            </w:r>
          </w:p>
          <w:p>
            <w:pPr>
              <w:spacing w:after="0" w:before="0"/>
            </w:pPr>
            <w:r>
              <w:rPr>
                <w:rFonts w:ascii="Trebuchet MS" w:cs="Trebuchet MS" w:eastAsia="Trebuchet MS" w:hAnsi="Trebuchet MS"/>
                <w:color w:val="6B7280"/>
                <w:sz w:val="16"/>
                <w:szCs w:val="16"/>
              </w:rPr>
              <w:t xml:space="preserve">Utility bar vs primary nav — Insurance, Portal, Contact</w:t>
            </w:r>
          </w:p>
        </w:tc>
      </w:tr>
      <w:tr>
        <w:tc>
          <w:tcPr>
            <w:tcW w:type="dxa" w:w="9890"/>
            <w:tcBorders>
              <w:top w:val="none" w:color="FFFFFF" w:sz="0"/>
              <w:left w:val="single" w:color="E5E7EB" w:sz="4"/>
              <w:bottom w:val="single" w:color="E5E7EB" w:sz="4"/>
              <w:right w:val="single" w:color="E5E7EB" w:sz="4"/>
            </w:tcBorders>
            <w:tcMar>
              <w:top w:type="dxa" w:w="80"/>
              <w:left w:type="dxa" w:w="160"/>
              <w:bottom w:type="dxa" w:w="80"/>
              <w:right w:type="dxa" w:w="160"/>
            </w:tcMar>
          </w:tcPr>
          <w:p>
            <w:pPr>
              <w:spacing w:after="0" w:before="0" w:line="276" w:lineRule="auto"/>
            </w:pPr>
            <w:r>
              <w:rPr>
                <w:rFonts w:ascii="Corbel" w:cs="Corbel" w:eastAsia="Corbel" w:hAnsi="Corbel"/>
                <w:color w:val="374151"/>
                <w:sz w:val="20"/>
                <w:szCs w:val="20"/>
              </w:rPr>
              <w:t xml:space="preserve">Insurance Information lives only in the utility bar, but a new patient researching before their first booking would expect it inside Patient resources in primary nav. Contact appears inside About Us but not in the utility bar. Patient Portal and Pay My Bill are utility-only. No navigation layer serves any one user group completely.</w:t>
            </w:r>
          </w:p>
        </w:tc>
      </w:tr>
    </w:tbl>
    <w:p>
      <w:pPr>
        <w:spacing w:after="4"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45"/>
        <w:gridCol w:w="5045"/>
      </w:tblGrid>
      <w:tr>
        <w:tc>
          <w:tcPr>
            <w:tcW w:type="dxa" w:w="4845"/>
            <w:tcBorders>
              <w:top w:val="single" w:color="FECACA" w:sz="4"/>
              <w:left w:val="single" w:color="FECACA" w:sz="4"/>
              <w:bottom w:val="single" w:color="FECACA" w:sz="4"/>
              <w:right w:val="single" w:color="FECACA" w:sz="4"/>
            </w:tcBorders>
            <w:shd w:fill="FEF2F2" w:val="clear"/>
            <w:tcMar>
              <w:top w:type="dxa" w:w="100"/>
              <w:left w:type="dxa" w:w="140"/>
              <w:bottom w:type="dxa" w:w="100"/>
              <w:right w:type="dxa" w:w="140"/>
            </w:tcMar>
          </w:tcPr>
          <w:p>
            <w:pPr>
              <w:spacing w:after="6" w:before="0"/>
            </w:pPr>
            <w:r>
              <w:rPr>
                <w:rFonts w:ascii="Trebuchet MS" w:cs="Trebuchet MS" w:eastAsia="Trebuchet MS" w:hAnsi="Trebuchet MS"/>
                <w:b/>
                <w:bCs/>
                <w:color w:val="DC2626"/>
                <w:sz w:val="15"/>
                <w:szCs w:val="15"/>
              </w:rPr>
              <w:t xml:space="preserve">CURRENT STATE</w:t>
            </w:r>
          </w:p>
          <w:p>
            <w:pPr>
              <w:spacing w:after="0" w:before="0" w:line="276" w:lineRule="auto"/>
            </w:pPr>
            <w:r>
              <w:rPr>
                <w:rFonts w:ascii="Corbel" w:cs="Corbel" w:eastAsia="Corbel" w:hAnsi="Corbel"/>
                <w:color w:val="3D1010"/>
                <w:sz w:val="20"/>
                <w:szCs w:val="20"/>
              </w:rPr>
              <w:t xml:space="preserve">Insurance Information lives only in the utility bar, but a new patient researching before their first booking would expect it inside Patient resources in primary nav. Contact appears inside About Us but not in the utility bar. Patient Portal and Pay My Bill are utility-only. No navigation layer serves any one user group completely.</w:t>
            </w:r>
          </w:p>
        </w:tc>
        <w:tc>
          <w:tcPr>
            <w:tcW w:type="dxa" w:w="5045"/>
            <w:tcBorders>
              <w:top w:val="single" w:color="A7F3D0" w:sz="4"/>
              <w:left w:val="single" w:color="A7F3D0" w:sz="4"/>
              <w:bottom w:val="single" w:color="A7F3D0" w:sz="4"/>
              <w:right w:val="single" w:color="A7F3D0" w:sz="4"/>
            </w:tcBorders>
            <w:shd w:fill="ECFDF5" w:val="clear"/>
            <w:tcMar>
              <w:top w:type="dxa" w:w="100"/>
              <w:left w:type="dxa" w:w="140"/>
              <w:bottom w:type="dxa" w:w="100"/>
              <w:right w:type="dxa" w:w="140"/>
            </w:tcMar>
          </w:tcPr>
          <w:p>
            <w:pPr>
              <w:spacing w:after="6" w:before="0"/>
            </w:pPr>
            <w:r>
              <w:rPr>
                <w:rFonts w:ascii="Trebuchet MS" w:cs="Trebuchet MS" w:eastAsia="Trebuchet MS" w:hAnsi="Trebuchet MS"/>
                <w:b/>
                <w:bCs/>
                <w:color w:val="059669"/>
                <w:sz w:val="15"/>
                <w:szCs w:val="15"/>
              </w:rPr>
              <w:t xml:space="preserve">RECOMMENDED FIX</w:t>
            </w:r>
          </w:p>
          <w:p>
            <w:pPr>
              <w:spacing w:after="0" w:before="0" w:line="276" w:lineRule="auto"/>
            </w:pPr>
            <w:r>
              <w:rPr>
                <w:rFonts w:ascii="Corbel" w:cs="Corbel" w:eastAsia="Corbel" w:hAnsi="Corbel"/>
                <w:color w:val="0A3327"/>
                <w:sz w:val="20"/>
                <w:szCs w:val="20"/>
              </w:rPr>
              <w:t xml:space="preserve">Add Patient resources to primary nav (Insurance, Portal, Pay bill, FAQs). Utility bar keeps Portal and Pay bill as shortcuts for returning users. Referring Providers stays in utility as a professional-audience shortcut.</w:t>
            </w:r>
          </w:p>
        </w:tc>
      </w:tr>
    </w:tbl>
    <w:p>
      <w:pPr>
        <w:spacing w:after="4" w:before="0"/>
      </w:pPr>
      <w:r>
        <w:t xml:space="preserve"/>
      </w:r>
    </w:p>
    <w:p>
      <w:pPr>
        <w:spacing w:after="20" w:before="0"/>
      </w:pPr>
      <w:r>
        <w:rPr>
          <w:rFonts w:ascii="Trebuchet MS" w:cs="Trebuchet MS" w:eastAsia="Trebuchet MS" w:hAnsi="Trebuchet MS"/>
          <w:b/>
          <w:bCs/>
          <w:color w:val="15545E"/>
          <w:sz w:val="17"/>
          <w:szCs w:val="17"/>
        </w:rPr>
        <w:t xml:space="preserve">Principle: </w:t>
      </w:r>
      <w:r>
        <w:rPr>
          <w:rFonts w:ascii="Corbel" w:cs="Corbel" w:eastAsia="Corbel" w:hAnsi="Corbel"/>
          <w:i/>
          <w:iCs/>
          <w:color w:val="6B7280"/>
          <w:sz w:val="18"/>
          <w:szCs w:val="18"/>
        </w:rPr>
        <w:t xml:space="preserve">Secondary navigation should serve different mental modes, not fragment primary navigation tasks across two layers.</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E5E7EB" w:sz="4"/>
              <w:left w:val="single" w:color="E5E7EB" w:sz="4"/>
              <w:bottom w:val="single" w:color="E5E7EB" w:sz="4"/>
              <w:right w:val="single" w:color="E5E7EB" w:sz="4"/>
            </w:tcBorders>
            <w:shd w:fill="F8FAFC" w:val="clear"/>
            <w:tcMar>
              <w:top w:type="dxa" w:w="80"/>
              <w:left w:type="dxa" w:w="160"/>
              <w:bottom w:type="dxa" w:w="80"/>
              <w:right w:type="dxa" w:w="160"/>
            </w:tcMar>
          </w:tcPr>
          <w:p>
            <w:pPr>
              <w:spacing w:after="4" w:before="0"/>
            </w:pPr>
            <w:r>
              <w:rPr>
                <w:rFonts w:ascii="Trebuchet MS" w:cs="Trebuchet MS" w:eastAsia="Trebuchet MS" w:hAnsi="Trebuchet MS"/>
                <w:b/>
                <w:bCs/>
                <w:color w:val="6B7280"/>
                <w:sz w:val="18"/>
                <w:szCs w:val="18"/>
              </w:rPr>
              <w:t xml:space="preserve">5. </w:t>
            </w:r>
            <w:r>
              <w:rPr>
                <w:rFonts w:ascii="Trebuchet MS" w:cs="Trebuchet MS" w:eastAsia="Trebuchet MS" w:hAnsi="Trebuchet MS"/>
                <w:b/>
                <w:bCs/>
                <w:color w:val="313956"/>
                <w:sz w:val="20"/>
                <w:szCs w:val="20"/>
              </w:rPr>
              <w:t xml:space="preserve">"In The News" given equal nav weight to Treatments and Locations</w:t>
            </w:r>
            <w:r>
              <w:rPr>
                <w:rFonts w:ascii="Trebuchet MS" w:cs="Trebuchet MS" w:eastAsia="Trebuchet MS" w:hAnsi="Trebuchet MS"/>
                <w:b/>
                <w:bCs/>
                <w:color w:val="059669"/>
                <w:sz w:val="16"/>
                <w:szCs w:val="16"/>
              </w:rPr>
              <w:t xml:space="preserve">  [LOW SEVERITY]</w:t>
            </w:r>
          </w:p>
          <w:p>
            <w:pPr>
              <w:spacing w:after="0" w:before="0"/>
            </w:pPr>
            <w:r>
              <w:rPr>
                <w:rFonts w:ascii="Trebuchet MS" w:cs="Trebuchet MS" w:eastAsia="Trebuchet MS" w:hAnsi="Trebuchet MS"/>
                <w:color w:val="6B7280"/>
                <w:sz w:val="16"/>
                <w:szCs w:val="16"/>
              </w:rPr>
              <w:t xml:space="preserve">Primary nav — top level, 6th item</w:t>
            </w:r>
          </w:p>
        </w:tc>
      </w:tr>
      <w:tr>
        <w:tc>
          <w:tcPr>
            <w:tcW w:type="dxa" w:w="9890"/>
            <w:tcBorders>
              <w:top w:val="none" w:color="FFFFFF" w:sz="0"/>
              <w:left w:val="single" w:color="E5E7EB" w:sz="4"/>
              <w:bottom w:val="single" w:color="E5E7EB" w:sz="4"/>
              <w:right w:val="single" w:color="E5E7EB" w:sz="4"/>
            </w:tcBorders>
            <w:tcMar>
              <w:top w:type="dxa" w:w="80"/>
              <w:left w:type="dxa" w:w="160"/>
              <w:bottom w:type="dxa" w:w="80"/>
              <w:right w:type="dxa" w:w="160"/>
            </w:tcMar>
          </w:tcPr>
          <w:p>
            <w:pPr>
              <w:spacing w:after="0" w:before="0" w:line="276" w:lineRule="auto"/>
            </w:pPr>
            <w:r>
              <w:rPr>
                <w:rFonts w:ascii="Corbel" w:cs="Corbel" w:eastAsia="Corbel" w:hAnsi="Corbel"/>
                <w:color w:val="374151"/>
                <w:sz w:val="20"/>
                <w:szCs w:val="20"/>
              </w:rPr>
              <w:t xml:space="preserve">"In The News" serves journalists, industry partners, and investors — not patients. It appears as a top-level nav item alongside Locations and Digestive health, consuming prime navigation real estate that should be reserved for the site's core audiences.</w:t>
            </w:r>
          </w:p>
        </w:tc>
      </w:tr>
    </w:tbl>
    <w:p>
      <w:pPr>
        <w:spacing w:after="4"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45"/>
        <w:gridCol w:w="5045"/>
      </w:tblGrid>
      <w:tr>
        <w:tc>
          <w:tcPr>
            <w:tcW w:type="dxa" w:w="4845"/>
            <w:tcBorders>
              <w:top w:val="single" w:color="FECACA" w:sz="4"/>
              <w:left w:val="single" w:color="FECACA" w:sz="4"/>
              <w:bottom w:val="single" w:color="FECACA" w:sz="4"/>
              <w:right w:val="single" w:color="FECACA" w:sz="4"/>
            </w:tcBorders>
            <w:shd w:fill="FEF2F2" w:val="clear"/>
            <w:tcMar>
              <w:top w:type="dxa" w:w="100"/>
              <w:left w:type="dxa" w:w="140"/>
              <w:bottom w:type="dxa" w:w="100"/>
              <w:right w:type="dxa" w:w="140"/>
            </w:tcMar>
          </w:tcPr>
          <w:p>
            <w:pPr>
              <w:spacing w:after="6" w:before="0"/>
            </w:pPr>
            <w:r>
              <w:rPr>
                <w:rFonts w:ascii="Trebuchet MS" w:cs="Trebuchet MS" w:eastAsia="Trebuchet MS" w:hAnsi="Trebuchet MS"/>
                <w:b/>
                <w:bCs/>
                <w:color w:val="DC2626"/>
                <w:sz w:val="15"/>
                <w:szCs w:val="15"/>
              </w:rPr>
              <w:t xml:space="preserve">CURRENT STATE</w:t>
            </w:r>
          </w:p>
          <w:p>
            <w:pPr>
              <w:spacing w:after="0" w:before="0" w:line="276" w:lineRule="auto"/>
            </w:pPr>
            <w:r>
              <w:rPr>
                <w:rFonts w:ascii="Corbel" w:cs="Corbel" w:eastAsia="Corbel" w:hAnsi="Corbel"/>
                <w:color w:val="3D1010"/>
                <w:sz w:val="20"/>
                <w:szCs w:val="20"/>
              </w:rPr>
              <w:t xml:space="preserve">"In The News" serves journalists, industry partners, and investors — not patients. It appears as a top-level nav item alongside Locations and Digestive health, consuming prime navigation real estate that should be reserved for the site's core audiences.</w:t>
            </w:r>
          </w:p>
        </w:tc>
        <w:tc>
          <w:tcPr>
            <w:tcW w:type="dxa" w:w="5045"/>
            <w:tcBorders>
              <w:top w:val="single" w:color="A7F3D0" w:sz="4"/>
              <w:left w:val="single" w:color="A7F3D0" w:sz="4"/>
              <w:bottom w:val="single" w:color="A7F3D0" w:sz="4"/>
              <w:right w:val="single" w:color="A7F3D0" w:sz="4"/>
            </w:tcBorders>
            <w:shd w:fill="ECFDF5" w:val="clear"/>
            <w:tcMar>
              <w:top w:type="dxa" w:w="100"/>
              <w:left w:type="dxa" w:w="140"/>
              <w:bottom w:type="dxa" w:w="100"/>
              <w:right w:type="dxa" w:w="140"/>
            </w:tcMar>
          </w:tcPr>
          <w:p>
            <w:pPr>
              <w:spacing w:after="6" w:before="0"/>
            </w:pPr>
            <w:r>
              <w:rPr>
                <w:rFonts w:ascii="Trebuchet MS" w:cs="Trebuchet MS" w:eastAsia="Trebuchet MS" w:hAnsi="Trebuchet MS"/>
                <w:b/>
                <w:bCs/>
                <w:color w:val="059669"/>
                <w:sz w:val="15"/>
                <w:szCs w:val="15"/>
              </w:rPr>
              <w:t xml:space="preserve">RECOMMENDED FIX</w:t>
            </w:r>
          </w:p>
          <w:p>
            <w:pPr>
              <w:spacing w:after="0" w:before="0" w:line="276" w:lineRule="auto"/>
            </w:pPr>
            <w:r>
              <w:rPr>
                <w:rFonts w:ascii="Corbel" w:cs="Corbel" w:eastAsia="Corbel" w:hAnsi="Corbel"/>
                <w:color w:val="0A3327"/>
                <w:sz w:val="20"/>
                <w:szCs w:val="20"/>
              </w:rPr>
              <w:t xml:space="preserve">Move to About Us → News &amp; press. The homepage already features In The News as a content section — that is sufficient patient-facing exposure.</w:t>
            </w:r>
          </w:p>
        </w:tc>
      </w:tr>
    </w:tbl>
    <w:p>
      <w:pPr>
        <w:spacing w:after="4" w:before="0"/>
      </w:pPr>
      <w:r>
        <w:t xml:space="preserve"/>
      </w:r>
    </w:p>
    <w:p>
      <w:pPr>
        <w:spacing w:after="20" w:before="0"/>
      </w:pPr>
      <w:r>
        <w:rPr>
          <w:rFonts w:ascii="Trebuchet MS" w:cs="Trebuchet MS" w:eastAsia="Trebuchet MS" w:hAnsi="Trebuchet MS"/>
          <w:b/>
          <w:bCs/>
          <w:color w:val="15545E"/>
          <w:sz w:val="17"/>
          <w:szCs w:val="17"/>
        </w:rPr>
        <w:t xml:space="preserve">Principle: </w:t>
      </w:r>
      <w:r>
        <w:rPr>
          <w:rFonts w:ascii="Corbel" w:cs="Corbel" w:eastAsia="Corbel" w:hAnsi="Corbel"/>
          <w:i/>
          <w:iCs/>
          <w:color w:val="6B7280"/>
          <w:sz w:val="18"/>
          <w:szCs w:val="18"/>
        </w:rPr>
        <w:t xml:space="preserve">Don't give peripheral content equal nav weight to core audience sections.</w:t>
      </w:r>
    </w:p>
    <w:p>
      <w:r>
        <w:br w:type="page"/>
      </w:r>
    </w:p>
    <w:p>
      <w:pPr>
        <w:spacing w:after="8" w:before="32"/>
      </w:pPr>
      <w:r>
        <w:rPr>
          <w:rFonts w:ascii="Trebuchet MS" w:cs="Trebuchet MS" w:eastAsia="Trebuchet MS" w:hAnsi="Trebuchet MS"/>
          <w:b/>
          <w:bCs/>
          <w:caps/>
          <w:color w:val="D65729"/>
          <w:sz w:val="16"/>
          <w:szCs w:val="16"/>
        </w:rPr>
        <w:t xml:space="preserve">04  </w:t>
      </w:r>
      <w:r>
        <w:rPr>
          <w:rFonts w:ascii="Trebuchet MS" w:cs="Trebuchet MS" w:eastAsia="Trebuchet MS" w:hAnsi="Trebuchet MS"/>
          <w:color w:val="6B7280"/>
          <w:sz w:val="16"/>
          <w:szCs w:val="16"/>
        </w:rPr>
        <w:t xml:space="preserve">— Labelling Audit</w:t>
      </w:r>
    </w:p>
    <w:p>
      <w:pPr>
        <w:pStyle w:val="Heading1"/>
        <w:spacing w:after="20" w:before="12"/>
      </w:pPr>
      <w:r>
        <w:rPr>
          <w:rFonts w:ascii="Georgia" w:cs="Georgia" w:eastAsia="Georgia" w:hAnsi="Georgia"/>
          <w:b w:val="false"/>
          <w:bCs w:val="false"/>
          <w:color w:val="313956"/>
          <w:sz w:val="44"/>
          <w:szCs w:val="44"/>
        </w:rPr>
        <w:t xml:space="preserve">Labels must use the user's words, </w:t>
      </w:r>
      <w:r>
        <w:rPr>
          <w:rFonts w:ascii="Georgia" w:cs="Georgia" w:eastAsia="Georgia" w:hAnsi="Georgia"/>
          <w:i/>
          <w:iCs/>
          <w:color w:val="15545E"/>
          <w:sz w:val="44"/>
          <w:szCs w:val="44"/>
        </w:rPr>
        <w:t xml:space="preserve">not yours.</w:t>
      </w:r>
    </w:p>
    <w:p>
      <w:pPr>
        <w:spacing w:after="24" w:before="8" w:line="336" w:lineRule="auto"/>
      </w:pPr>
      <w:r>
        <w:rPr>
          <w:rFonts w:ascii="Corbel" w:cs="Corbel" w:eastAsia="Corbel" w:hAnsi="Corbel"/>
          <w:i w:val="false"/>
          <w:iCs w:val="false"/>
          <w:color w:val="6B7280"/>
          <w:sz w:val="23"/>
          <w:szCs w:val="23"/>
        </w:rPr>
        <w:t xml:space="preserve">The most critical labelling rule: "The best labels are dull, boring, and completely obvious — they just work." Clever or branded labels make users feel stupid. Clear labels get out of the way.</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100"/>
        <w:gridCol w:w="5590"/>
      </w:tblGrid>
      <w:tr>
        <w:trPr>
          <w:tblHeader/>
        </w:trPr>
        <w:tc>
          <w:tcPr>
            <w:tcW w:type="dxa" w:w="16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CURRENT LABEL</w:t>
            </w:r>
          </w:p>
        </w:tc>
        <w:tc>
          <w:tcPr>
            <w:tcW w:type="dxa" w:w="16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PROPOSED LABEL</w:t>
            </w:r>
          </w:p>
        </w:tc>
        <w:tc>
          <w:tcPr>
            <w:tcW w:type="dxa" w:w="11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LOCATION</w:t>
            </w:r>
          </w:p>
        </w:tc>
        <w:tc>
          <w:tcPr>
            <w:tcW w:type="dxa" w:w="559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WHY IT FAILS / WHY THE FIX WORKS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Treatments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Digestive health</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Primary nav</w:t>
            </w:r>
          </w:p>
        </w:tc>
        <w:tc>
          <w:tcPr>
            <w:tcW w:type="dxa" w:w="55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Patients have symptoms in mind, not treatments. Digestive health is the topic frame; treatments are outcomes inside it.</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Our Team</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Find a doctor</w:t>
            </w:r>
          </w:p>
        </w:tc>
        <w:tc>
          <w:tcPr>
            <w:tcW w:type="dxa" w:w="11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Primary nav</w:t>
            </w:r>
          </w:p>
        </w:tc>
        <w:tc>
          <w:tcPr>
            <w:tcW w:type="dxa" w:w="55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Our Team is org-centric. Patients want to find someone specific. Find a doctor names the task they are performing.</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In The News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News &amp; press</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Under About us</w:t>
            </w:r>
          </w:p>
        </w:tc>
        <w:tc>
          <w:tcPr>
            <w:tcW w:type="dxa" w:w="55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Demoted from top-level. Renamed to match what media and partners call it. Patients see this on the homepage anyway.</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Latest Updates</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News &amp; blog</w:t>
            </w:r>
          </w:p>
        </w:tc>
        <w:tc>
          <w:tcPr>
            <w:tcW w:type="dxa" w:w="11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Under About us</w:t>
            </w:r>
          </w:p>
        </w:tc>
        <w:tc>
          <w:tcPr>
            <w:tcW w:type="dxa" w:w="55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Latest Updates is generic and could mean software patches. News &amp; blog is clear and matches user expectations.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Gut Insights (tm)</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Gut Insights — patient education</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Under About us</w:t>
            </w:r>
          </w:p>
        </w:tc>
        <w:tc>
          <w:tcPr>
            <w:tcW w:type="dxa" w:w="55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Brand name alone gives no indication of content. A subtitle clarifies purpose and helps users self-select.</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About Us &gt; Join Our Team</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Careers</w:t>
            </w:r>
          </w:p>
        </w:tc>
        <w:tc>
          <w:tcPr>
            <w:tcW w:type="dxa" w:w="11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Under About us</w:t>
            </w:r>
          </w:p>
        </w:tc>
        <w:tc>
          <w:tcPr>
            <w:tcW w:type="dxa" w:w="55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Join Our Team is fine language but Careers is the industry-standard term job seekers actually search for.</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Why Choose Us?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Why GI Partners</w:t>
            </w:r>
          </w:p>
        </w:tc>
        <w:tc>
          <w:tcPr>
            <w:tcW w:type="dxa" w:w="11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6B7280"/>
                <w:sz w:val="19"/>
                <w:szCs w:val="19"/>
              </w:rPr>
              <w:t xml:space="preserve">Under About us</w:t>
            </w:r>
          </w:p>
        </w:tc>
        <w:tc>
          <w:tcPr>
            <w:tcW w:type="dxa" w:w="55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The question mark is unnecessary and slightly defensive. A direct statement is more confident.</w:t>
            </w:r>
          </w:p>
        </w:tc>
      </w:tr>
    </w:tbl>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D65729" w:sz="18"/>
              <w:bottom w:val="none" w:color="FFFFFF" w:sz="0"/>
              <w:right w:val="none" w:color="FFFFFF" w:sz="0"/>
            </w:tcBorders>
            <w:shd w:fill="FAF0EB" w:val="clear"/>
            <w:tcMar>
              <w:top w:type="dxa" w:w="100"/>
              <w:left w:type="dxa" w:w="180"/>
              <w:bottom w:type="dxa" w:w="100"/>
              <w:right w:type="dxa" w:w="120"/>
            </w:tcMar>
          </w:tcPr>
          <w:p>
            <w:pPr>
              <w:spacing w:after="0" w:before="0"/>
            </w:pPr>
            <w:r>
              <w:rPr>
                <w:rFonts w:ascii="Trebuchet MS" w:cs="Trebuchet MS" w:eastAsia="Trebuchet MS" w:hAnsi="Trebuchet MS"/>
                <w:b/>
                <w:bCs/>
                <w:color w:val="D65729"/>
                <w:sz w:val="18"/>
                <w:szCs w:val="18"/>
              </w:rPr>
              <w:t xml:space="preserve">Labelling law applied: </w:t>
            </w:r>
            <w:r>
              <w:rPr>
                <w:rFonts w:ascii="Corbel" w:cs="Corbel" w:eastAsia="Corbel" w:hAnsi="Corbel"/>
                <w:color w:val="7C2D12"/>
                <w:sz w:val="20"/>
                <w:szCs w:val="20"/>
              </w:rPr>
              <w:t xml:space="preserve">Check every label against this question — "What word does the user have in their head when they are looking for this?" If the answer is different from the label, the label needs to change. The user's word wins every time.</w:t>
            </w:r>
          </w:p>
        </w:tc>
      </w:tr>
    </w:tbl>
    <w:p>
      <w:pPr>
        <w:spacing w:after="16" w:before="0"/>
      </w:pPr>
      <w:r>
        <w:t xml:space="preserve"/>
      </w:r>
    </w:p>
    <w:p>
      <w:r>
        <w:br w:type="page"/>
      </w:r>
    </w:p>
    <w:p>
      <w:pPr>
        <w:spacing w:after="8" w:before="32"/>
      </w:pPr>
      <w:r>
        <w:rPr>
          <w:rFonts w:ascii="Trebuchet MS" w:cs="Trebuchet MS" w:eastAsia="Trebuchet MS" w:hAnsi="Trebuchet MS"/>
          <w:b/>
          <w:bCs/>
          <w:caps/>
          <w:color w:val="D65729"/>
          <w:sz w:val="16"/>
          <w:szCs w:val="16"/>
        </w:rPr>
        <w:t xml:space="preserve">05  </w:t>
      </w:r>
      <w:r>
        <w:rPr>
          <w:rFonts w:ascii="Trebuchet MS" w:cs="Trebuchet MS" w:eastAsia="Trebuchet MS" w:hAnsi="Trebuchet MS"/>
          <w:color w:val="6B7280"/>
          <w:sz w:val="16"/>
          <w:szCs w:val="16"/>
        </w:rPr>
        <w:t xml:space="preserve">— Proposed IA Structure</w:t>
      </w:r>
    </w:p>
    <w:p>
      <w:pPr>
        <w:pStyle w:val="Heading1"/>
        <w:spacing w:after="20" w:before="12"/>
      </w:pPr>
      <w:r>
        <w:rPr>
          <w:rFonts w:ascii="Georgia" w:cs="Georgia" w:eastAsia="Georgia" w:hAnsi="Georgia"/>
          <w:b w:val="false"/>
          <w:bCs w:val="false"/>
          <w:color w:val="313956"/>
          <w:sz w:val="44"/>
          <w:szCs w:val="44"/>
        </w:rPr>
        <w:t xml:space="preserve">The recommended </w:t>
      </w:r>
      <w:r>
        <w:rPr>
          <w:rFonts w:ascii="Georgia" w:cs="Georgia" w:eastAsia="Georgia" w:hAnsi="Georgia"/>
          <w:i/>
          <w:iCs/>
          <w:color w:val="15545E"/>
          <w:sz w:val="44"/>
          <w:szCs w:val="44"/>
        </w:rPr>
        <w:t xml:space="preserve">navigation architecture.</w:t>
      </w:r>
    </w:p>
    <w:p>
      <w:pPr>
        <w:spacing w:after="24" w:before="8" w:line="336" w:lineRule="auto"/>
      </w:pPr>
      <w:r>
        <w:rPr>
          <w:rFonts w:ascii="Corbel" w:cs="Corbel" w:eastAsia="Corbel" w:hAnsi="Corbel"/>
          <w:i w:val="false"/>
          <w:iCs w:val="false"/>
          <w:color w:val="6B7280"/>
          <w:sz w:val="23"/>
          <w:szCs w:val="23"/>
        </w:rPr>
        <w:t xml:space="preserve">A focused entry points pattern over a subject hierarchy — the main structure serves the general patient audience, with dedicated entry paths for transactional and professional users.</w:t>
      </w:r>
    </w:p>
    <w:p>
      <w:pPr>
        <w:spacing w:after="8" w:before="24"/>
      </w:pPr>
      <w:r>
        <w:rPr>
          <w:rFonts w:ascii="Trebuchet MS" w:cs="Trebuchet MS" w:eastAsia="Trebuchet MS" w:hAnsi="Trebuchet MS"/>
          <w:b/>
          <w:bCs/>
          <w:color w:val="313956"/>
          <w:spacing w:val="80"/>
          <w:sz w:val="17"/>
          <w:szCs w:val="17"/>
        </w:rPr>
        <w:t xml:space="preserve">PRIMARY NAVIGATION</w:t>
      </w:r>
    </w:p>
    <w:p>
      <w:pPr>
        <w:spacing w:after="6"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48"/>
        <w:gridCol w:w="1648"/>
        <w:gridCol w:w="1648"/>
        <w:gridCol w:w="1648"/>
        <w:gridCol w:w="1648"/>
        <w:gridCol w:w="1648"/>
      </w:tblGrid>
      <w:tr>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Find a doctor</w:t>
            </w:r>
          </w:p>
        </w:tc>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Locations</w:t>
            </w:r>
          </w:p>
        </w:tc>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Digestive health</w:t>
            </w:r>
          </w:p>
        </w:tc>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Patient resources</w:t>
            </w:r>
          </w:p>
        </w:tc>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About us</w:t>
            </w:r>
          </w:p>
        </w:tc>
        <w:tc>
          <w:tcPr>
            <w:tcW w:type="dxa" w:w="1648"/>
            <w:tcBorders>
              <w:top w:val="single" w:color="15545E" w:sz="4"/>
              <w:left w:val="single" w:color="15545E" w:sz="4"/>
              <w:bottom w:val="single" w:color="15545E" w:sz="4"/>
              <w:right w:val="single" w:color="15545E" w:sz="4"/>
            </w:tcBorders>
            <w:shd w:fill="15545E" w:val="clear"/>
            <w:tcMar>
              <w:top w:type="dxa" w:w="100"/>
              <w:left w:type="dxa" w:w="140"/>
              <w:bottom w:type="dxa" w:w="100"/>
              <w:right w:type="dxa" w:w="140"/>
            </w:tcMar>
          </w:tcPr>
          <w:p>
            <w:pPr>
              <w:spacing w:after="0" w:before="0"/>
            </w:pPr>
            <w:r>
              <w:rPr>
                <w:rFonts w:ascii="Trebuchet MS" w:cs="Trebuchet MS" w:eastAsia="Trebuchet MS" w:hAnsi="Trebuchet MS"/>
                <w:b/>
                <w:bCs/>
                <w:color w:val="FFFFFF"/>
                <w:sz w:val="17"/>
                <w:szCs w:val="17"/>
              </w:rPr>
              <w:t xml:space="preserve">Contact + CTA</w:t>
            </w:r>
          </w:p>
        </w:tc>
      </w:tr>
      <w:tr>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Browse physicians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Care team</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Find by location</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Open-access colonoscopy</w:t>
            </w:r>
          </w:p>
        </w:tc>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Region filter pills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9 cities primary</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Practice name secondary</w:t>
            </w:r>
          </w:p>
        </w:tc>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Symptoms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Conditions treated</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Procedures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Symptom search CTA</w:t>
            </w:r>
          </w:p>
        </w:tc>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Insurance we accept</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Patient portal</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Pay my bill</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FAQs</w:t>
            </w:r>
          </w:p>
        </w:tc>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Why GI Partners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Leadership</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News &amp; press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Gut Insights</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Careers</w:t>
            </w:r>
          </w:p>
        </w:tc>
        <w:tc>
          <w:tcPr>
            <w:tcW w:type="dxa" w:w="1648"/>
            <w:tcBorders>
              <w:top w:val="single" w:color="E5E7EB" w:sz="4"/>
              <w:left w:val="single" w:color="E5E7EB" w:sz="4"/>
              <w:bottom w:val="single" w:color="E5E7EB" w:sz="4"/>
              <w:right w:val="single" w:color="E5E7EB" w:sz="4"/>
            </w:tcBorders>
            <w:shd w:fill="EAF4F5" w:val="clear"/>
            <w:tcMar>
              <w:top w:type="dxa" w:w="100"/>
              <w:left w:type="dxa" w:w="140"/>
              <w:bottom w:type="dxa" w:w="100"/>
              <w:right w:type="dxa" w:w="140"/>
            </w:tcMar>
          </w:tcPr>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Standalone nav item</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Never buried</w:t>
            </w:r>
          </w:p>
          <w:p>
            <w:pPr>
              <w:spacing w:after="6" w:before="0"/>
            </w:pPr>
            <w:r>
              <w:rPr>
                <w:rFonts w:ascii="Trebuchet MS" w:cs="Trebuchet MS" w:eastAsia="Trebuchet MS" w:hAnsi="Trebuchet MS"/>
                <w:color w:val="6B7280"/>
                <w:sz w:val="16"/>
                <w:szCs w:val="16"/>
              </w:rPr>
              <w:t xml:space="preserve">→ </w:t>
            </w:r>
            <w:r>
              <w:rPr>
                <w:rFonts w:ascii="Corbel" w:cs="Corbel" w:eastAsia="Corbel" w:hAnsi="Corbel"/>
                <w:color w:val="374141"/>
                <w:sz w:val="16"/>
                <w:szCs w:val="16"/>
              </w:rPr>
              <w:t xml:space="preserve">Book appointment (CTA button)</w:t>
            </w:r>
          </w:p>
        </w:tc>
      </w:tr>
    </w:tbl>
    <w:p>
      <w:pPr>
        <w:spacing w:after="12" w:before="0"/>
      </w:pPr>
      <w:r>
        <w:t xml:space="preserve"/>
      </w:r>
    </w:p>
    <w:p>
      <w:pPr>
        <w:spacing w:after="8" w:before="24"/>
      </w:pPr>
      <w:r>
        <w:rPr>
          <w:rFonts w:ascii="Trebuchet MS" w:cs="Trebuchet MS" w:eastAsia="Trebuchet MS" w:hAnsi="Trebuchet MS"/>
          <w:b/>
          <w:bCs/>
          <w:color w:val="313956"/>
          <w:spacing w:val="80"/>
          <w:sz w:val="17"/>
          <w:szCs w:val="17"/>
        </w:rPr>
        <w:t xml:space="preserve">UTILITY BAR — AUDIENCE-SPECIFIC SHORTCUTS</w:t>
      </w:r>
    </w:p>
    <w:p>
      <w:pPr>
        <w:spacing w:after="6"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none" w:color="FFFFFF" w:sz="0"/>
              <w:bottom w:val="none" w:color="FFFFFF" w:sz="0"/>
              <w:right w:val="none" w:color="FFFFFF" w:sz="0"/>
            </w:tcBorders>
            <w:shd w:fill="313956" w:val="clear"/>
            <w:tcMar>
              <w:top w:type="dxa" w:w="100"/>
              <w:left w:type="dxa" w:w="200"/>
              <w:bottom w:type="dxa" w:w="100"/>
              <w:right w:type="dxa" w:w="200"/>
            </w:tcMar>
          </w:tcPr>
          <w:p>
            <w:pPr>
              <w:spacing w:after="0" w:before="0"/>
            </w:pPr>
            <w:r>
              <w:rPr>
                <w:rFonts w:ascii="Trebuchet MS" w:cs="Trebuchet MS" w:eastAsia="Trebuchet MS" w:hAnsi="Trebuchet MS"/>
                <w:color w:val="FFBB99"/>
                <w:sz w:val="18"/>
                <w:szCs w:val="18"/>
              </w:rPr>
              <w:t xml:space="preserve">Referring providers  |  Insurance we accept  |  </w:t>
            </w:r>
            <w:r>
              <w:rPr>
                <w:rFonts w:ascii="Corbel" w:cs="Corbel" w:eastAsia="Corbel" w:hAnsi="Corbel"/>
                <w:color w:val="BBBBCC"/>
                <w:sz w:val="18"/>
                <w:szCs w:val="18"/>
              </w:rPr>
              <w:t xml:space="preserve">Patient portal  |  Pay my bill  |  Employee hub</w:t>
            </w:r>
          </w:p>
        </w:tc>
      </w:tr>
    </w:tbl>
    <w:p>
      <w:pPr>
        <w:spacing w:after="8" w:before="0"/>
      </w:pPr>
      <w:r>
        <w:t xml:space="preserve"/>
      </w:r>
    </w:p>
    <w:p>
      <w:pPr>
        <w:spacing w:after="14" w:before="0" w:line="320" w:lineRule="auto"/>
      </w:pPr>
      <w:r>
        <w:rPr>
          <w:rFonts w:ascii="Corbel" w:cs="Corbel" w:eastAsia="Corbel" w:hAnsi="Corbel"/>
          <w:color w:val="6B7280"/>
          <w:sz w:val="21"/>
          <w:szCs w:val="21"/>
        </w:rPr>
        <w:t xml:space="preserve">Orange items above = professional/provider shortcuts. White items = returning patient transactional shortcuts. These duplicate intentionally — the utility bar serves different mental modes than primary nav.</w:t>
      </w:r>
    </w:p>
    <w:p>
      <w:pPr>
        <w:spacing w:after="8" w:before="0"/>
      </w:pPr>
      <w:r>
        <w:t xml:space="preserve"/>
      </w:r>
    </w:p>
    <w:p>
      <w:pPr>
        <w:spacing w:after="8" w:before="24"/>
      </w:pPr>
      <w:r>
        <w:rPr>
          <w:rFonts w:ascii="Trebuchet MS" w:cs="Trebuchet MS" w:eastAsia="Trebuchet MS" w:hAnsi="Trebuchet MS"/>
          <w:b/>
          <w:bCs/>
          <w:color w:val="313956"/>
          <w:spacing w:val="80"/>
          <w:sz w:val="17"/>
          <w:szCs w:val="17"/>
        </w:rPr>
        <w:t xml:space="preserve">IA PATTERN APPLIED</w:t>
      </w:r>
    </w:p>
    <w:p>
      <w:pPr>
        <w:spacing w:after="14" w:before="0" w:line="320" w:lineRule="auto"/>
      </w:pPr>
      <w:r>
        <w:rPr>
          <w:rFonts w:ascii="Corbel" w:cs="Corbel" w:eastAsia="Corbel" w:hAnsi="Corbel"/>
          <w:color w:val="1A1A1A"/>
          <w:sz w:val="21"/>
          <w:szCs w:val="21"/>
        </w:rPr>
        <w:t xml:space="preserve">Focused entry points over a subject hierarchy. The primary nav serves the general patient audience with a subject-organised structure. Referring Providers and Insurance get focused entry points in the utility bar for users who know exactly what they need. The Locations dropdown uses a geography filter as a secondary classification scheme. This is the recommended pattern for organisations with multiple distinct user groups where no single structure works for all of them.</w:t>
      </w:r>
    </w:p>
    <w:p>
      <w:pPr>
        <w:spacing w:after="16" w:before="0"/>
      </w:pPr>
      <w:r>
        <w:t xml:space="preserve"/>
      </w:r>
    </w:p>
    <w:p>
      <w:r>
        <w:br w:type="page"/>
      </w:r>
    </w:p>
    <w:p>
      <w:pPr>
        <w:spacing w:after="8" w:before="32"/>
      </w:pPr>
      <w:r>
        <w:rPr>
          <w:rFonts w:ascii="Trebuchet MS" w:cs="Trebuchet MS" w:eastAsia="Trebuchet MS" w:hAnsi="Trebuchet MS"/>
          <w:b/>
          <w:bCs/>
          <w:caps/>
          <w:color w:val="D65729"/>
          <w:sz w:val="16"/>
          <w:szCs w:val="16"/>
        </w:rPr>
        <w:t xml:space="preserve">06  </w:t>
      </w:r>
      <w:r>
        <w:rPr>
          <w:rFonts w:ascii="Trebuchet MS" w:cs="Trebuchet MS" w:eastAsia="Trebuchet MS" w:hAnsi="Trebuchet MS"/>
          <w:color w:val="6B7280"/>
          <w:sz w:val="16"/>
          <w:szCs w:val="16"/>
        </w:rPr>
        <w:t xml:space="preserve">— Mobile &amp; Implementation</w:t>
      </w:r>
    </w:p>
    <w:p>
      <w:pPr>
        <w:pStyle w:val="Heading1"/>
        <w:spacing w:after="20" w:before="12"/>
      </w:pPr>
      <w:r>
        <w:rPr>
          <w:rFonts w:ascii="Georgia" w:cs="Georgia" w:eastAsia="Georgia" w:hAnsi="Georgia"/>
          <w:b w:val="false"/>
          <w:bCs w:val="false"/>
          <w:color w:val="313956"/>
          <w:sz w:val="44"/>
          <w:szCs w:val="44"/>
        </w:rPr>
        <w:t xml:space="preserve">Mobile-first navigation </w:t>
      </w:r>
      <w:r>
        <w:rPr>
          <w:rFonts w:ascii="Georgia" w:cs="Georgia" w:eastAsia="Georgia" w:hAnsi="Georgia"/>
          <w:i/>
          <w:iCs/>
          <w:color w:val="15545E"/>
          <w:sz w:val="44"/>
          <w:szCs w:val="44"/>
        </w:rPr>
        <w:t xml:space="preserve">decisions.</w:t>
      </w:r>
    </w:p>
    <w:p>
      <w:pPr>
        <w:spacing w:after="24" w:before="8" w:line="336" w:lineRule="auto"/>
      </w:pPr>
      <w:r>
        <w:rPr>
          <w:rFonts w:ascii="Corbel" w:cs="Corbel" w:eastAsia="Corbel" w:hAnsi="Corbel"/>
          <w:i w:val="false"/>
          <w:iCs w:val="false"/>
          <w:color w:val="6B7280"/>
          <w:sz w:val="23"/>
          <w:szCs w:val="23"/>
        </w:rPr>
        <w:t xml:space="preserve">Mobile navigation requires separate design decisions from desktop. Task priority on a phone is different — booking an appointment or finding a location are the dominant mobile intents for a healthcare site.</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single" w:color="E5E7EB" w:sz="4"/>
              <w:left w:val="single" w:color="15545E" w:sz="12"/>
              <w:bottom w:val="single" w:color="E5E7EB" w:sz="4"/>
              <w:right w:val="single" w:color="E5E7EB" w:sz="4"/>
            </w:tcBorders>
            <w:shd w:fill="EAF4F5" w:val="clear"/>
            <w:tcMar>
              <w:top w:type="dxa" w:w="100"/>
              <w:left w:type="dxa" w:w="160"/>
              <w:bottom w:type="dxa" w:w="100"/>
              <w:right w:type="dxa" w:w="120"/>
            </w:tcMar>
          </w:tcPr>
          <w:p>
            <w:pPr>
              <w:spacing w:after="0" w:before="0"/>
            </w:pPr>
            <w:r>
              <w:rPr>
                <w:rFonts w:ascii="Trebuchet MS" w:cs="Trebuchet MS" w:eastAsia="Trebuchet MS" w:hAnsi="Trebuchet MS"/>
                <w:b/>
                <w:bCs/>
                <w:color w:val="15545E"/>
                <w:sz w:val="18"/>
                <w:szCs w:val="18"/>
              </w:rPr>
              <w:t xml:space="preserve">Book appointment → top of drawer</w:t>
            </w:r>
          </w:p>
        </w:tc>
        <w:tc>
          <w:tcPr>
            <w:tcW w:type="dxa" w:w="4945"/>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spacing w:after="0" w:before="0"/>
            </w:pPr>
            <w:r>
              <w:rPr>
                <w:rFonts w:ascii="Corbel" w:cs="Corbel" w:eastAsia="Corbel" w:hAnsi="Corbel"/>
                <w:color w:val="374141"/>
                <w:sz w:val="17"/>
                <w:szCs w:val="17"/>
              </w:rPr>
              <w:t xml:space="preserve">On mobile, the primary CTA moves to the first item in the hamburger drawer — not a floating button. It is the single highest-value action for a mobile patient visitor.</w:t>
            </w:r>
          </w:p>
        </w:tc>
      </w:tr>
      <w:tr>
        <w:tc>
          <w:tcPr>
            <w:tcW w:type="dxa" w:w="4945"/>
            <w:tcBorders>
              <w:top w:val="single" w:color="E5E7EB" w:sz="4"/>
              <w:left w:val="single" w:color="15545E" w:sz="12"/>
              <w:bottom w:val="single" w:color="E5E7EB" w:sz="4"/>
              <w:right w:val="single" w:color="E5E7EB" w:sz="4"/>
            </w:tcBorders>
            <w:shd w:fill="EAF4F5" w:val="clear"/>
            <w:tcMar>
              <w:top w:type="dxa" w:w="100"/>
              <w:left w:type="dxa" w:w="160"/>
              <w:bottom w:type="dxa" w:w="100"/>
              <w:right w:type="dxa" w:w="120"/>
            </w:tcMar>
          </w:tcPr>
          <w:p>
            <w:pPr>
              <w:spacing w:after="0" w:before="0"/>
            </w:pPr>
            <w:r>
              <w:rPr>
                <w:rFonts w:ascii="Trebuchet MS" w:cs="Trebuchet MS" w:eastAsia="Trebuchet MS" w:hAnsi="Trebuchet MS"/>
                <w:b/>
                <w:bCs/>
                <w:color w:val="15545E"/>
                <w:sz w:val="18"/>
                <w:szCs w:val="18"/>
              </w:rPr>
              <w:t xml:space="preserve">Utility bar condenses to 2 items</w:t>
            </w:r>
          </w:p>
        </w:tc>
        <w:tc>
          <w:tcPr>
            <w:tcW w:type="dxa" w:w="4945"/>
            <w:tcBorders>
              <w:top w:val="single" w:color="E5E7EB" w:sz="4"/>
              <w:left w:val="single" w:color="E5E7EB" w:sz="4"/>
              <w:bottom w:val="single" w:color="E5E7EB" w:sz="4"/>
              <w:right w:val="single" w:color="E5E7EB" w:sz="4"/>
            </w:tcBorders>
            <w:shd w:fill="F9FAFB" w:val="clear"/>
            <w:tcMar>
              <w:top w:type="dxa" w:w="100"/>
              <w:left w:type="dxa" w:w="120"/>
              <w:bottom w:type="dxa" w:w="100"/>
              <w:right w:type="dxa" w:w="120"/>
            </w:tcMar>
          </w:tcPr>
          <w:p>
            <w:pPr>
              <w:spacing w:after="0" w:before="0"/>
            </w:pPr>
            <w:r>
              <w:rPr>
                <w:rFonts w:ascii="Corbel" w:cs="Corbel" w:eastAsia="Corbel" w:hAnsi="Corbel"/>
                <w:color w:val="374141"/>
                <w:sz w:val="17"/>
                <w:szCs w:val="17"/>
              </w:rPr>
              <w:t xml:space="preserve">Mobile utility bar keeps only Patient Portal and Pay My Bill. Insurance, Referring Providers, and Employee Hub move to the footer on mobile.</w:t>
            </w:r>
          </w:p>
        </w:tc>
      </w:tr>
      <w:tr>
        <w:tc>
          <w:tcPr>
            <w:tcW w:type="dxa" w:w="4945"/>
            <w:tcBorders>
              <w:top w:val="single" w:color="E5E7EB" w:sz="4"/>
              <w:left w:val="single" w:color="15545E" w:sz="12"/>
              <w:bottom w:val="single" w:color="E5E7EB" w:sz="4"/>
              <w:right w:val="single" w:color="E5E7EB" w:sz="4"/>
            </w:tcBorders>
            <w:shd w:fill="EAF4F5" w:val="clear"/>
            <w:tcMar>
              <w:top w:type="dxa" w:w="100"/>
              <w:left w:type="dxa" w:w="160"/>
              <w:bottom w:type="dxa" w:w="100"/>
              <w:right w:type="dxa" w:w="120"/>
            </w:tcMar>
          </w:tcPr>
          <w:p>
            <w:pPr>
              <w:spacing w:after="0" w:before="0"/>
            </w:pPr>
            <w:r>
              <w:rPr>
                <w:rFonts w:ascii="Trebuchet MS" w:cs="Trebuchet MS" w:eastAsia="Trebuchet MS" w:hAnsi="Trebuchet MS"/>
                <w:b/>
                <w:bCs/>
                <w:color w:val="15545E"/>
                <w:sz w:val="18"/>
                <w:szCs w:val="18"/>
              </w:rPr>
              <w:t xml:space="preserve">Referring providers → footer on mobile</w:t>
            </w:r>
          </w:p>
        </w:tc>
        <w:tc>
          <w:tcPr>
            <w:tcW w:type="dxa" w:w="4945"/>
            <w:tcBorders>
              <w:top w:val="single" w:color="E5E7EB" w:sz="4"/>
              <w:left w:val="single" w:color="E5E7EB" w:sz="4"/>
              <w:bottom w:val="single" w:color="E5E7EB" w:sz="4"/>
              <w:right w:val="single" w:color="E5E7EB" w:sz="4"/>
            </w:tcBorders>
            <w:shd w:fill="FFFFFF" w:val="clear"/>
            <w:tcMar>
              <w:top w:type="dxa" w:w="100"/>
              <w:left w:type="dxa" w:w="120"/>
              <w:bottom w:type="dxa" w:w="100"/>
              <w:right w:type="dxa" w:w="120"/>
            </w:tcMar>
          </w:tcPr>
          <w:p>
            <w:pPr>
              <w:spacing w:after="0" w:before="0"/>
            </w:pPr>
            <w:r>
              <w:rPr>
                <w:rFonts w:ascii="Corbel" w:cs="Corbel" w:eastAsia="Corbel" w:hAnsi="Corbel"/>
                <w:color w:val="374141"/>
                <w:sz w:val="17"/>
                <w:szCs w:val="17"/>
              </w:rPr>
              <w:t xml:space="preserve">Referring providers complete referrals on desktop. The mobile audience is overwhelmingly patients. Deprioritising this on mobile reduces cognitive load for the primary audience.</w:t>
            </w:r>
          </w:p>
        </w:tc>
      </w:tr>
      <w:tr>
        <w:tc>
          <w:tcPr>
            <w:tcW w:type="dxa" w:w="4945"/>
            <w:tcBorders>
              <w:top w:val="single" w:color="E5E7EB" w:sz="4"/>
              <w:left w:val="single" w:color="15545E" w:sz="12"/>
              <w:bottom w:val="single" w:color="E5E7EB" w:sz="4"/>
              <w:right w:val="single" w:color="E5E7EB" w:sz="4"/>
            </w:tcBorders>
            <w:shd w:fill="EAF4F5" w:val="clear"/>
            <w:tcMar>
              <w:top w:type="dxa" w:w="100"/>
              <w:left w:type="dxa" w:w="160"/>
              <w:bottom w:type="dxa" w:w="100"/>
              <w:right w:type="dxa" w:w="120"/>
            </w:tcMar>
          </w:tcPr>
          <w:p>
            <w:pPr>
              <w:spacing w:after="0" w:before="0"/>
            </w:pPr>
            <w:r>
              <w:rPr>
                <w:rFonts w:ascii="Trebuchet MS" w:cs="Trebuchet MS" w:eastAsia="Trebuchet MS" w:hAnsi="Trebuchet MS"/>
                <w:b/>
                <w:bCs/>
                <w:color w:val="15545E"/>
                <w:sz w:val="18"/>
                <w:szCs w:val="18"/>
              </w:rPr>
              <w:t xml:space="preserve">Symptom search on mobile homepage</w:t>
            </w:r>
          </w:p>
        </w:tc>
        <w:tc>
          <w:tcPr>
            <w:tcW w:type="dxa" w:w="4945"/>
            <w:tcBorders>
              <w:top w:val="single" w:color="E5E7EB" w:sz="4"/>
              <w:left w:val="single" w:color="E5E7EB" w:sz="4"/>
              <w:bottom w:val="single" w:color="E5E7EB" w:sz="4"/>
              <w:right w:val="single" w:color="E5E7EB" w:sz="4"/>
            </w:tcBorders>
            <w:shd w:fill="F9FAFB" w:val="clear"/>
            <w:tcMar>
              <w:top w:type="dxa" w:w="100"/>
              <w:left w:type="dxa" w:w="120"/>
              <w:bottom w:type="dxa" w:w="100"/>
              <w:right w:type="dxa" w:w="120"/>
            </w:tcMar>
          </w:tcPr>
          <w:p>
            <w:pPr>
              <w:spacing w:after="0" w:before="0"/>
            </w:pPr>
            <w:r>
              <w:rPr>
                <w:rFonts w:ascii="Corbel" w:cs="Corbel" w:eastAsia="Corbel" w:hAnsi="Corbel"/>
                <w:color w:val="374141"/>
                <w:sz w:val="17"/>
                <w:szCs w:val="17"/>
              </w:rPr>
              <w:t xml:space="preserve">Mobile patients search by symptom more than by category. A prominent search field on the mobile homepage intercepts the highest-anxiety entry path before they need to navigate.</w:t>
            </w:r>
          </w:p>
        </w:tc>
      </w:tr>
    </w:tbl>
    <w:p>
      <w:pPr>
        <w:spacing w:after="16" w:before="0"/>
      </w:pPr>
      <w:r>
        <w:t xml:space="preserve"/>
      </w:r>
    </w:p>
    <w:p>
      <w:pPr>
        <w:pStyle w:val="Heading2"/>
        <w:spacing w:after="12" w:before="28"/>
      </w:pPr>
      <w:r>
        <w:rPr>
          <w:rFonts w:ascii="Georgia" w:cs="Georgia" w:eastAsia="Georgia" w:hAnsi="Georgia"/>
          <w:color w:val="313956"/>
          <w:sz w:val="28"/>
          <w:szCs w:val="28"/>
        </w:rPr>
        <w:t xml:space="preserve">Implementation roadmap</w:t>
      </w:r>
    </w:p>
    <w:p>
      <w:pPr>
        <w:spacing w:after="6"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390"/>
        <w:gridCol w:w="900"/>
      </w:tblGrid>
      <w:tr>
        <w:trPr>
          <w:tblHeader/>
        </w:trPr>
        <w:tc>
          <w:tcPr>
            <w:tcW w:type="dxa" w:w="4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w:t>
            </w:r>
          </w:p>
        </w:tc>
        <w:tc>
          <w:tcPr>
            <w:tcW w:type="dxa" w:w="22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ACTION</w:t>
            </w:r>
          </w:p>
        </w:tc>
        <w:tc>
          <w:tcPr>
            <w:tcW w:type="dxa" w:w="639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DETAIL</w:t>
            </w:r>
          </w:p>
        </w:tc>
        <w:tc>
          <w:tcPr>
            <w:tcW w:type="dxa" w:w="9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EFFORT</w:t>
            </w:r>
          </w:p>
        </w:tc>
      </w:tr>
      <w:tr>
        <w:tc>
          <w:tcPr>
            <w:tcW w:type="dxa" w:w="400"/>
            <w:tcBorders>
              <w:top w:val="single" w:color="E5E7EB" w:sz="4"/>
              <w:left w:val="single" w:color="E5E7EB" w:sz="4"/>
              <w:bottom w:val="single" w:color="E5E7EB" w:sz="4"/>
              <w:right w:val="single" w:color="E5E7EB" w:sz="4"/>
            </w:tcBorders>
            <w:shd w:fill="15545E" w:val="clear"/>
            <w:tcMar>
              <w:top w:type="dxa" w:w="100"/>
              <w:left w:type="dxa" w:w="140"/>
              <w:bottom w:type="dxa" w:w="100"/>
              <w:right w:type="dxa" w:w="140"/>
            </w:tcMar>
            <w:vAlign w:val="center"/>
          </w:tcPr>
          <w:p>
            <w:pPr>
              <w:spacing w:after="0" w:before="0"/>
              <w:jc w:val="center"/>
            </w:pPr>
            <w:r>
              <w:rPr>
                <w:rFonts w:ascii="Georgia" w:cs="Georgia" w:eastAsia="Georgia" w:hAnsi="Georgia"/>
                <w:b/>
                <w:bCs/>
                <w:color w:val="FFFFFF"/>
                <w:sz w:val="24"/>
                <w:szCs w:val="24"/>
              </w:rPr>
              <w:t xml:space="preserve">1</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313956"/>
                <w:sz w:val="18"/>
                <w:szCs w:val="18"/>
              </w:rPr>
              <w:t xml:space="preserve">Rename nav labels</w:t>
            </w:r>
          </w:p>
        </w:tc>
        <w:tc>
          <w:tcPr>
            <w:tcW w:type="dxa" w:w="63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color w:val="374141"/>
                <w:sz w:val="17"/>
                <w:szCs w:val="17"/>
              </w:rPr>
              <w:t xml:space="preserve">Rename "Our Team" to "Find a doctor", "Treatments" to "Digestive health", pull Contact to standalone. Label-only changes in the nav widget — under 1 hour.</w:t>
            </w:r>
          </w:p>
        </w:tc>
        <w:tc>
          <w:tcPr>
            <w:tcW w:type="dxa" w:w="9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vAlign w:val="center"/>
          </w:tcPr>
          <w:p>
            <w:pPr>
              <w:spacing w:after="0" w:before="0"/>
              <w:jc w:val="center"/>
            </w:pPr>
            <w:r>
              <w:rPr>
                <w:rFonts w:ascii="Trebuchet MS" w:cs="Trebuchet MS" w:eastAsia="Trebuchet MS" w:hAnsi="Trebuchet MS"/>
                <w:b/>
                <w:bCs/>
                <w:color w:val="059669"/>
                <w:spacing w:val="40"/>
                <w:sz w:val="15"/>
                <w:szCs w:val="15"/>
              </w:rPr>
              <w:t xml:space="preserve">QUICK</w:t>
            </w:r>
          </w:p>
        </w:tc>
      </w:tr>
      <w:tr>
        <w:tc>
          <w:tcPr>
            <w:tcW w:type="dxa" w:w="400"/>
            <w:tcBorders>
              <w:top w:val="single" w:color="E5E7EB" w:sz="4"/>
              <w:left w:val="single" w:color="E5E7EB" w:sz="4"/>
              <w:bottom w:val="single" w:color="E5E7EB" w:sz="4"/>
              <w:right w:val="single" w:color="E5E7EB" w:sz="4"/>
            </w:tcBorders>
            <w:shd w:fill="15545E" w:val="clear"/>
            <w:tcMar>
              <w:top w:type="dxa" w:w="100"/>
              <w:left w:type="dxa" w:w="140"/>
              <w:bottom w:type="dxa" w:w="100"/>
              <w:right w:type="dxa" w:w="140"/>
            </w:tcMar>
            <w:vAlign w:val="center"/>
          </w:tcPr>
          <w:p>
            <w:pPr>
              <w:spacing w:after="0" w:before="0"/>
              <w:jc w:val="center"/>
            </w:pPr>
            <w:r>
              <w:rPr>
                <w:rFonts w:ascii="Georgia" w:cs="Georgia" w:eastAsia="Georgia" w:hAnsi="Georgia"/>
                <w:b/>
                <w:bCs/>
                <w:color w:val="FFFFFF"/>
                <w:sz w:val="24"/>
                <w:szCs w:val="24"/>
              </w:rPr>
              <w:t xml:space="preserve">2</w:t>
            </w:r>
          </w:p>
        </w:tc>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313956"/>
                <w:sz w:val="18"/>
                <w:szCs w:val="18"/>
              </w:rPr>
              <w:t xml:space="preserve">Add Patient resources section</w:t>
            </w:r>
          </w:p>
        </w:tc>
        <w:tc>
          <w:tcPr>
            <w:tcW w:type="dxa" w:w="63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color w:val="374141"/>
                <w:sz w:val="17"/>
                <w:szCs w:val="17"/>
              </w:rPr>
              <w:t xml:space="preserve">Create a new nav item consolidating Insurance, Portal, Pay bill, and FAQs. All pages exist — structural reorganisation only.</w:t>
            </w:r>
          </w:p>
        </w:tc>
        <w:tc>
          <w:tcPr>
            <w:tcW w:type="dxa" w:w="9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vAlign w:val="center"/>
          </w:tcPr>
          <w:p>
            <w:pPr>
              <w:spacing w:after="0" w:before="0"/>
              <w:jc w:val="center"/>
            </w:pPr>
            <w:r>
              <w:rPr>
                <w:rFonts w:ascii="Trebuchet MS" w:cs="Trebuchet MS" w:eastAsia="Trebuchet MS" w:hAnsi="Trebuchet MS"/>
                <w:b/>
                <w:bCs/>
                <w:color w:val="059669"/>
                <w:spacing w:val="40"/>
                <w:sz w:val="15"/>
                <w:szCs w:val="15"/>
              </w:rPr>
              <w:t xml:space="preserve">QUICK</w:t>
            </w:r>
          </w:p>
        </w:tc>
      </w:tr>
      <w:tr>
        <w:tc>
          <w:tcPr>
            <w:tcW w:type="dxa" w:w="400"/>
            <w:tcBorders>
              <w:top w:val="single" w:color="E5E7EB" w:sz="4"/>
              <w:left w:val="single" w:color="E5E7EB" w:sz="4"/>
              <w:bottom w:val="single" w:color="E5E7EB" w:sz="4"/>
              <w:right w:val="single" w:color="E5E7EB" w:sz="4"/>
            </w:tcBorders>
            <w:shd w:fill="15545E" w:val="clear"/>
            <w:tcMar>
              <w:top w:type="dxa" w:w="100"/>
              <w:left w:type="dxa" w:w="140"/>
              <w:bottom w:type="dxa" w:w="100"/>
              <w:right w:type="dxa" w:w="140"/>
            </w:tcMar>
            <w:vAlign w:val="center"/>
          </w:tcPr>
          <w:p>
            <w:pPr>
              <w:spacing w:after="0" w:before="0"/>
              <w:jc w:val="center"/>
            </w:pPr>
            <w:r>
              <w:rPr>
                <w:rFonts w:ascii="Georgia" w:cs="Georgia" w:eastAsia="Georgia" w:hAnsi="Georgia"/>
                <w:b/>
                <w:bCs/>
                <w:color w:val="FFFFFF"/>
                <w:sz w:val="24"/>
                <w:szCs w:val="24"/>
              </w:rPr>
              <w:t xml:space="preserve">3</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313956"/>
                <w:sz w:val="18"/>
                <w:szCs w:val="18"/>
              </w:rPr>
              <w:t xml:space="preserve">Restructure Locations dropdown</w:t>
            </w:r>
          </w:p>
        </w:tc>
        <w:tc>
          <w:tcPr>
            <w:tcW w:type="dxa" w:w="63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color w:val="374141"/>
                <w:sz w:val="17"/>
                <w:szCs w:val="17"/>
              </w:rPr>
              <w:t xml:space="preserve">Add region filter pills. Promote city names as primary, demote practice brand names to secondary. Add a Find a location near me map CTA.</w:t>
            </w:r>
          </w:p>
        </w:tc>
        <w:tc>
          <w:tcPr>
            <w:tcW w:type="dxa" w:w="9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center"/>
          </w:tcPr>
          <w:p>
            <w:pPr>
              <w:spacing w:after="0" w:before="0"/>
              <w:jc w:val="center"/>
            </w:pPr>
            <w:r>
              <w:rPr>
                <w:rFonts w:ascii="Trebuchet MS" w:cs="Trebuchet MS" w:eastAsia="Trebuchet MS" w:hAnsi="Trebuchet MS"/>
                <w:b/>
                <w:bCs/>
                <w:color w:val="D97706"/>
                <w:spacing w:val="40"/>
                <w:sz w:val="15"/>
                <w:szCs w:val="15"/>
              </w:rPr>
              <w:t xml:space="preserve">MEDIUM</w:t>
            </w:r>
          </w:p>
        </w:tc>
      </w:tr>
      <w:tr>
        <w:tc>
          <w:tcPr>
            <w:tcW w:type="dxa" w:w="400"/>
            <w:tcBorders>
              <w:top w:val="single" w:color="E5E7EB" w:sz="4"/>
              <w:left w:val="single" w:color="E5E7EB" w:sz="4"/>
              <w:bottom w:val="single" w:color="E5E7EB" w:sz="4"/>
              <w:right w:val="single" w:color="E5E7EB" w:sz="4"/>
            </w:tcBorders>
            <w:shd w:fill="15545E" w:val="clear"/>
            <w:tcMar>
              <w:top w:type="dxa" w:w="100"/>
              <w:left w:type="dxa" w:w="140"/>
              <w:bottom w:type="dxa" w:w="100"/>
              <w:right w:type="dxa" w:w="140"/>
            </w:tcMar>
            <w:vAlign w:val="center"/>
          </w:tcPr>
          <w:p>
            <w:pPr>
              <w:spacing w:after="0" w:before="0"/>
              <w:jc w:val="center"/>
            </w:pPr>
            <w:r>
              <w:rPr>
                <w:rFonts w:ascii="Georgia" w:cs="Georgia" w:eastAsia="Georgia" w:hAnsi="Georgia"/>
                <w:b/>
                <w:bCs/>
                <w:color w:val="FFFFFF"/>
                <w:sz w:val="24"/>
                <w:szCs w:val="24"/>
              </w:rPr>
              <w:t xml:space="preserve">4</w:t>
            </w:r>
          </w:p>
        </w:tc>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313956"/>
                <w:sz w:val="18"/>
                <w:szCs w:val="18"/>
              </w:rPr>
              <w:t xml:space="preserve">Clean up About Us + move In The News</w:t>
            </w:r>
          </w:p>
        </w:tc>
        <w:tc>
          <w:tcPr>
            <w:tcW w:type="dxa" w:w="63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color w:val="374141"/>
                <w:sz w:val="17"/>
                <w:szCs w:val="17"/>
              </w:rPr>
              <w:t xml:space="preserve">Remove In The News from top-level. Slim About Us to 4 items. Move Gut Insights with subtitle descriptor.</w:t>
            </w:r>
          </w:p>
        </w:tc>
        <w:tc>
          <w:tcPr>
            <w:tcW w:type="dxa" w:w="9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center"/>
          </w:tcPr>
          <w:p>
            <w:pPr>
              <w:spacing w:after="0" w:before="0"/>
              <w:jc w:val="center"/>
            </w:pPr>
            <w:r>
              <w:rPr>
                <w:rFonts w:ascii="Trebuchet MS" w:cs="Trebuchet MS" w:eastAsia="Trebuchet MS" w:hAnsi="Trebuchet MS"/>
                <w:b/>
                <w:bCs/>
                <w:color w:val="D97706"/>
                <w:spacing w:val="40"/>
                <w:sz w:val="15"/>
                <w:szCs w:val="15"/>
              </w:rPr>
              <w:t xml:space="preserve">MEDIUM</w:t>
            </w:r>
          </w:p>
        </w:tc>
      </w:tr>
      <w:tr>
        <w:tc>
          <w:tcPr>
            <w:tcW w:type="dxa" w:w="400"/>
            <w:tcBorders>
              <w:top w:val="single" w:color="E5E7EB" w:sz="4"/>
              <w:left w:val="single" w:color="E5E7EB" w:sz="4"/>
              <w:bottom w:val="single" w:color="E5E7EB" w:sz="4"/>
              <w:right w:val="single" w:color="E5E7EB" w:sz="4"/>
            </w:tcBorders>
            <w:shd w:fill="15545E" w:val="clear"/>
            <w:tcMar>
              <w:top w:type="dxa" w:w="100"/>
              <w:left w:type="dxa" w:w="140"/>
              <w:bottom w:type="dxa" w:w="100"/>
              <w:right w:type="dxa" w:w="140"/>
            </w:tcMar>
            <w:vAlign w:val="center"/>
          </w:tcPr>
          <w:p>
            <w:pPr>
              <w:spacing w:after="0" w:before="0"/>
              <w:jc w:val="center"/>
            </w:pPr>
            <w:r>
              <w:rPr>
                <w:rFonts w:ascii="Georgia" w:cs="Georgia" w:eastAsia="Georgia" w:hAnsi="Georgia"/>
                <w:b/>
                <w:bCs/>
                <w:color w:val="FFFFFF"/>
                <w:sz w:val="24"/>
                <w:szCs w:val="24"/>
              </w:rPr>
              <w:t xml:space="preserve">5</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313956"/>
                <w:sz w:val="18"/>
                <w:szCs w:val="18"/>
              </w:rPr>
              <w:t xml:space="preserve">Mobile drawer + symptom search</w:t>
            </w:r>
          </w:p>
        </w:tc>
        <w:tc>
          <w:tcPr>
            <w:tcW w:type="dxa" w:w="63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color w:val="374141"/>
                <w:sz w:val="17"/>
                <w:szCs w:val="17"/>
              </w:rPr>
              <w:t xml:space="preserve">Book Appointment at top of drawer. Symptom search on mobile homepage hero. Condense mobile utility bar to 2 items.</w:t>
            </w:r>
          </w:p>
        </w:tc>
        <w:tc>
          <w:tcPr>
            <w:tcW w:type="dxa" w:w="900"/>
            <w:tcBorders>
              <w:top w:val="single" w:color="E5E7EB" w:sz="4"/>
              <w:left w:val="single" w:color="E5E7EB" w:sz="4"/>
              <w:bottom w:val="single" w:color="E5E7EB" w:sz="4"/>
              <w:right w:val="single" w:color="E5E7EB" w:sz="4"/>
            </w:tcBorders>
            <w:shd w:fill="ECEEF3" w:val="clear"/>
            <w:tcMar>
              <w:top w:type="dxa" w:w="100"/>
              <w:left w:type="dxa" w:w="140"/>
              <w:bottom w:type="dxa" w:w="100"/>
              <w:right w:type="dxa" w:w="140"/>
            </w:tcMar>
            <w:vAlign w:val="center"/>
          </w:tcPr>
          <w:p>
            <w:pPr>
              <w:spacing w:after="0" w:before="0"/>
              <w:jc w:val="center"/>
            </w:pPr>
            <w:r>
              <w:rPr>
                <w:rFonts w:ascii="Trebuchet MS" w:cs="Trebuchet MS" w:eastAsia="Trebuchet MS" w:hAnsi="Trebuchet MS"/>
                <w:b/>
                <w:bCs/>
                <w:color w:val="313956"/>
                <w:spacing w:val="40"/>
                <w:sz w:val="15"/>
                <w:szCs w:val="15"/>
              </w:rPr>
              <w:t xml:space="preserve">STRATEGIC</w:t>
            </w:r>
          </w:p>
        </w:tc>
      </w:tr>
    </w:tbl>
    <w:p>
      <w:pPr>
        <w:spacing w:after="16" w:before="0"/>
      </w:pPr>
      <w:r>
        <w:t xml:space="preserve"/>
      </w:r>
    </w:p>
    <w:p>
      <w:r>
        <w:br w:type="page"/>
      </w:r>
    </w:p>
    <w:p>
      <w:pPr>
        <w:spacing w:after="8" w:before="32"/>
      </w:pPr>
      <w:r>
        <w:rPr>
          <w:rFonts w:ascii="Trebuchet MS" w:cs="Trebuchet MS" w:eastAsia="Trebuchet MS" w:hAnsi="Trebuchet MS"/>
          <w:b/>
          <w:bCs/>
          <w:caps/>
          <w:color w:val="D65729"/>
          <w:sz w:val="16"/>
          <w:szCs w:val="16"/>
        </w:rPr>
        <w:t xml:space="preserve">07  </w:t>
      </w:r>
      <w:r>
        <w:rPr>
          <w:rFonts w:ascii="Trebuchet MS" w:cs="Trebuchet MS" w:eastAsia="Trebuchet MS" w:hAnsi="Trebuchet MS"/>
          <w:color w:val="6B7280"/>
          <w:sz w:val="16"/>
          <w:szCs w:val="16"/>
        </w:rPr>
        <w:t xml:space="preserve">— Summary &amp; Next Steps</w:t>
      </w:r>
    </w:p>
    <w:p>
      <w:pPr>
        <w:pStyle w:val="Heading1"/>
        <w:spacing w:after="20" w:before="12"/>
      </w:pPr>
      <w:r>
        <w:rPr>
          <w:rFonts w:ascii="Georgia" w:cs="Georgia" w:eastAsia="Georgia" w:hAnsi="Georgia"/>
          <w:b w:val="false"/>
          <w:bCs w:val="false"/>
          <w:color w:val="313956"/>
          <w:sz w:val="44"/>
          <w:szCs w:val="44"/>
        </w:rPr>
        <w:t xml:space="preserve">Violations summary and </w:t>
      </w:r>
      <w:r>
        <w:rPr>
          <w:rFonts w:ascii="Georgia" w:cs="Georgia" w:eastAsia="Georgia" w:hAnsi="Georgia"/>
          <w:i/>
          <w:iCs/>
          <w:color w:val="15545E"/>
          <w:sz w:val="44"/>
          <w:szCs w:val="44"/>
        </w:rPr>
        <w:t xml:space="preserve">recommended actions.</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4090"/>
      </w:tblGrid>
      <w:tr>
        <w:trPr>
          <w:tblHeader/>
        </w:trPr>
        <w:tc>
          <w:tcPr>
            <w:tcW w:type="dxa" w:w="28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IA PRINCIPLE</w:t>
            </w:r>
          </w:p>
        </w:tc>
        <w:tc>
          <w:tcPr>
            <w:tcW w:type="dxa" w:w="22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CURRENT SITE ISSUE</w:t>
            </w:r>
          </w:p>
        </w:tc>
        <w:tc>
          <w:tcPr>
            <w:tcW w:type="dxa" w:w="80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SEVERITY</w:t>
            </w:r>
          </w:p>
        </w:tc>
        <w:tc>
          <w:tcPr>
            <w:tcW w:type="dxa" w:w="4090"/>
            <w:tcBorders>
              <w:top w:val="single" w:color="313956" w:sz="4"/>
              <w:left w:val="single" w:color="313956" w:sz="4"/>
              <w:bottom w:val="single" w:color="313956" w:sz="4"/>
              <w:right w:val="single" w:color="313956" w:sz="4"/>
            </w:tcBorders>
            <w:shd w:fill="313956" w:val="clear"/>
            <w:tcMar>
              <w:top w:type="dxa" w:w="100"/>
              <w:left w:type="dxa" w:w="140"/>
              <w:bottom w:type="dxa" w:w="100"/>
              <w:right w:type="dxa" w:w="140"/>
            </w:tcMar>
          </w:tcPr>
          <w:p>
            <w:pPr>
              <w:spacing w:after="0" w:before="0"/>
            </w:pPr>
            <w:r>
              <w:rPr>
                <w:rFonts w:ascii="Trebuchet MS" w:cs="Trebuchet MS" w:eastAsia="Trebuchet MS" w:hAnsi="Trebuchet MS"/>
                <w:b/>
                <w:bCs/>
                <w:color w:val="DDDDEE"/>
                <w:spacing w:val="40"/>
                <w:sz w:val="15"/>
                <w:szCs w:val="15"/>
              </w:rPr>
              <w:t xml:space="preserve">FIX EFFORT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Organise by user mental model, not org structure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Locations by practice brand name</w:t>
            </w:r>
          </w:p>
        </w:tc>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High</w:t>
            </w:r>
          </w:p>
        </w:tc>
        <w:tc>
          <w:tcPr>
            <w:tcW w:type="dxa" w:w="40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Medium — dropdown restructure</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Labels must match the word in the user's head</w:t>
            </w:r>
          </w:p>
        </w:tc>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"Treatments" for symptom-seeking patients</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DC2626"/>
                <w:sz w:val="19"/>
                <w:szCs w:val="19"/>
              </w:rPr>
              <w:t xml:space="preserve">High</w:t>
            </w:r>
          </w:p>
        </w:tc>
        <w:tc>
          <w:tcPr>
            <w:tcW w:type="dxa" w:w="40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Quick — rename only</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Contact is never buried in a secondary menu</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Contact inside About Us</w:t>
            </w:r>
          </w:p>
        </w:tc>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D97706"/>
                <w:sz w:val="19"/>
                <w:szCs w:val="19"/>
              </w:rPr>
              <w:t xml:space="preserve">Medium</w:t>
            </w:r>
          </w:p>
        </w:tc>
        <w:tc>
          <w:tcPr>
            <w:tcW w:type="dxa" w:w="40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Quick — nav restructure</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Secondary nav serves different mental models</w:t>
            </w:r>
          </w:p>
        </w:tc>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Insurance utility-only; no patient resources home</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Trebuchet MS" w:cs="Trebuchet MS" w:eastAsia="Trebuchet MS" w:hAnsi="Trebuchet MS"/>
                <w:b/>
                <w:bCs/>
                <w:color w:val="D97706"/>
                <w:sz w:val="19"/>
                <w:szCs w:val="19"/>
              </w:rPr>
              <w:t xml:space="preserve">Medium</w:t>
            </w:r>
          </w:p>
        </w:tc>
        <w:tc>
          <w:tcPr>
            <w:tcW w:type="dxa" w:w="409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Medium — new nav section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Peripheral content should not get top-level weight</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"In The News" at top level</w:t>
            </w:r>
          </w:p>
        </w:tc>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Trebuchet MS" w:cs="Trebuchet MS" w:eastAsia="Trebuchet MS" w:hAnsi="Trebuchet MS"/>
                <w:b/>
                <w:bCs/>
                <w:color w:val="059669"/>
                <w:sz w:val="19"/>
                <w:szCs w:val="19"/>
              </w:rPr>
              <w:t xml:space="preserve">Low</w:t>
            </w:r>
          </w:p>
        </w:tc>
        <w:tc>
          <w:tcPr>
            <w:tcW w:type="dxa" w:w="409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pPr>
            <w:r>
              <w:rPr>
                <w:rFonts w:ascii="Corbel" w:cs="Corbel" w:eastAsia="Corbel" w:hAnsi="Corbel"/>
                <w:b w:val="false"/>
                <w:bCs w:val="false"/>
                <w:color w:val="374141"/>
                <w:sz w:val="19"/>
                <w:szCs w:val="19"/>
              </w:rPr>
              <w:t xml:space="preserve">Quick — move to sub-item</w:t>
            </w:r>
          </w:p>
        </w:tc>
      </w:tr>
    </w:tbl>
    <w:p>
      <w:pPr>
        <w:spacing w:after="16" w:before="0"/>
      </w:pPr>
      <w:r>
        <w:t xml:space="preserve"/>
      </w:r>
    </w:p>
    <w:p>
      <w:pPr>
        <w:pStyle w:val="Heading2"/>
        <w:spacing w:after="12" w:before="28"/>
      </w:pPr>
      <w:r>
        <w:rPr>
          <w:rFonts w:ascii="Georgia" w:cs="Georgia" w:eastAsia="Georgia" w:hAnsi="Georgia"/>
          <w:color w:val="313956"/>
          <w:sz w:val="28"/>
          <w:szCs w:val="28"/>
        </w:rPr>
        <w:t xml:space="preserve">Recommended next steps</w:t>
      </w:r>
    </w:p>
    <w:p>
      <w:pPr>
        <w:spacing w:after="14" w:before="0" w:line="320" w:lineRule="auto"/>
      </w:pPr>
      <w:r>
        <w:rPr>
          <w:rFonts w:ascii="Corbel" w:cs="Corbel" w:eastAsia="Corbel" w:hAnsi="Corbel"/>
          <w:color w:val="1A1A1A"/>
          <w:sz w:val="21"/>
          <w:szCs w:val="21"/>
        </w:rPr>
        <w:t xml:space="preserve">The five changes above can be grouped into two sprints. Sprint 1 (quick wins, under a day of work) addresses the three most impactful issues: renaming labels, adding Patient resources, and moving Contact. Sprint 2 (medium effort, 2–3 days) handles the Locations restructure and About Us cleanup.</w:t>
      </w:r>
    </w:p>
    <w:p>
      <w:pPr>
        <w:spacing w:after="14" w:before="0" w:line="320" w:lineRule="auto"/>
      </w:pPr>
      <w:r>
        <w:rPr>
          <w:rFonts w:ascii="Corbel" w:cs="Corbel" w:eastAsia="Corbel" w:hAnsi="Corbel"/>
          <w:color w:val="1A1A1A"/>
          <w:sz w:val="21"/>
          <w:szCs w:val="21"/>
        </w:rPr>
        <w:t xml:space="preserve">After implementation, we recommend running a lightweight tree test — 8 participants, 10 scenarios using symptom-based language ("You have had acid reflux for 3 weeks. Where would you look first?") — to validate the new structure before the mobile redesign sprint begins.</w:t>
      </w:r>
    </w:p>
    <w:p>
      <w:pPr>
        <w:spacing w:after="8"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D65729" w:sz="18"/>
              <w:bottom w:val="none" w:color="FFFFFF" w:sz="0"/>
              <w:right w:val="none" w:color="FFFFFF" w:sz="0"/>
            </w:tcBorders>
            <w:shd w:fill="FAF0EB" w:val="clear"/>
            <w:tcMar>
              <w:top w:type="dxa" w:w="100"/>
              <w:left w:type="dxa" w:w="180"/>
              <w:bottom w:type="dxa" w:w="100"/>
              <w:right w:type="dxa" w:w="120"/>
            </w:tcMar>
          </w:tcPr>
          <w:p>
            <w:pPr>
              <w:spacing w:after="0" w:before="0"/>
            </w:pPr>
            <w:r>
              <w:rPr>
                <w:rFonts w:ascii="Trebuchet MS" w:cs="Trebuchet MS" w:eastAsia="Trebuchet MS" w:hAnsi="Trebuchet MS"/>
                <w:b/>
                <w:bCs/>
                <w:color w:val="D65729"/>
                <w:sz w:val="18"/>
                <w:szCs w:val="18"/>
              </w:rPr>
              <w:t xml:space="preserve">Single most important change: </w:t>
            </w:r>
            <w:r>
              <w:rPr>
                <w:rFonts w:ascii="Corbel" w:cs="Corbel" w:eastAsia="Corbel" w:hAnsi="Corbel"/>
                <w:color w:val="7C2D12"/>
                <w:sz w:val="20"/>
                <w:szCs w:val="20"/>
              </w:rPr>
              <w:t xml:space="preserve">Rename "Treatments" to "Digestive health" and surface Symptoms as the first sub-item with the copy "What are you experiencing?" — this directly addresses the highest-volume, highest-anxiety patient entry path and can be live in under 30 minutes.</w:t>
            </w:r>
          </w:p>
        </w:tc>
      </w:tr>
    </w:tbl>
    <w:p>
      <w:pPr>
        <w:spacing w:after="24" w:before="0"/>
      </w:pPr>
      <w:r>
        <w:t xml:space="preserve"/>
      </w:r>
    </w:p>
    <w:p>
      <w:pPr>
        <w:pBdr>
          <w:bottom w:val="single" w:color="E5E7EB" w:sz="4" w:space="1"/>
        </w:pBdr>
        <w:spacing w:after="16" w:before="8"/>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 w:before="0"/>
            </w:pPr>
            <w:r>
              <w:rPr>
                <w:rFonts w:ascii="Georgia" w:cs="Georgia" w:eastAsia="Georgia" w:hAnsi="Georgia"/>
                <w:color w:val="313956"/>
                <w:sz w:val="26"/>
                <w:szCs w:val="26"/>
              </w:rPr>
              <w:t xml:space="preserve">designsuite.ai</w:t>
            </w:r>
          </w:p>
          <w:p>
            <w:pPr>
              <w:spacing w:after="0" w:before="0"/>
            </w:pPr>
            <w:r>
              <w:rPr>
                <w:rFonts w:ascii="Trebuchet MS" w:cs="Trebuchet MS" w:eastAsia="Trebuchet MS" w:hAnsi="Trebuchet MS"/>
                <w:color w:val="6B7280"/>
                <w:sz w:val="16"/>
                <w:szCs w:val="16"/>
              </w:rPr>
              <w:t xml:space="preserve">UI/UX Studio  ·  WordPress Specialists  ·  medicalsuite.ai</w:t>
            </w:r>
          </w:p>
        </w:tc>
        <w:tc>
          <w:tcPr>
            <w:tcW w:type="dxa" w:w="49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 w:before="0"/>
              <w:jc w:val="right"/>
            </w:pPr>
            <w:r>
              <w:rPr>
                <w:rFonts w:ascii="Trebuchet MS" w:cs="Trebuchet MS" w:eastAsia="Trebuchet MS" w:hAnsi="Trebuchet MS"/>
                <w:color w:val="6B7280"/>
                <w:sz w:val="16"/>
                <w:szCs w:val="16"/>
              </w:rPr>
              <w:t xml:space="preserve">Report prepared May 2026</w:t>
            </w:r>
          </w:p>
          <w:p>
            <w:pPr>
              <w:spacing w:after="0" w:before="0"/>
              <w:jc w:val="right"/>
            </w:pPr>
            <w:r>
              <w:rPr>
                <w:rFonts w:ascii="Trebuchet MS" w:cs="Trebuchet MS" w:eastAsia="Trebuchet MS" w:hAnsi="Trebuchet MS"/>
                <w:color w:val="6B7280"/>
                <w:sz w:val="16"/>
                <w:szCs w:val="16"/>
              </w:rPr>
              <w:t xml:space="preserve">IA Audit Framework  ·  People × Content × Context</w:t>
            </w:r>
          </w:p>
        </w:tc>
      </w:tr>
    </w:tbl>
    <w:sectPr>
      <w:headerReference w:type="default" r:id="rId7"/>
      <w:footerReference w:type="default" r:id="rId8"/>
      <w:pgSz w:w="11906" w:h="16838"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6923"/>
      <w:gridCol w:w="2967"/>
    </w:tblGrid>
    <w:tr>
      <w:tc>
        <w:tcPr>
          <w:tcBorders>
            <w:top w:val="single" w:color="E5E7EB" w:sz="4"/>
            <w:left w:val="none" w:color="FFFFFF" w:sz="0"/>
            <w:bottom w:val="none" w:color="FFFFFF" w:sz="0"/>
            <w:right w:val="none" w:color="FFFFFF" w:sz="0"/>
          </w:tcBorders>
          <w:tcMar>
            <w:top w:type="dxa" w:w="60"/>
            <w:left w:type="dxa" w:w="0"/>
            <w:bottom w:type="dxa" w:w="0"/>
            <w:right w:type="dxa" w:w="0"/>
          </w:tcMar>
        </w:tcPr>
        <w:p>
          <w:pPr>
            <w:spacing w:after="0" w:before="0"/>
          </w:pPr>
          <w:r>
            <w:rPr>
              <w:rFonts w:ascii="Trebuchet MS" w:cs="Trebuchet MS" w:eastAsia="Trebuchet MS" w:hAnsi="Trebuchet MS"/>
              <w:color w:val="6B7280"/>
              <w:sz w:val="15"/>
              <w:szCs w:val="15"/>
            </w:rPr>
            <w:t xml:space="preserve">Confidential — prepared for GI Partners of Illinois team review</w:t>
          </w:r>
        </w:p>
      </w:tc>
      <w:tc>
        <w:tcPr>
          <w:tcBorders>
            <w:top w:val="single" w:color="E5E7EB" w:sz="4"/>
            <w:left w:val="none" w:color="FFFFFF" w:sz="0"/>
            <w:bottom w:val="none" w:color="FFFFFF" w:sz="0"/>
            <w:right w:val="none" w:color="FFFFFF" w:sz="0"/>
          </w:tcBorders>
          <w:tcMar>
            <w:top w:type="dxa" w:w="60"/>
            <w:left w:type="dxa" w:w="0"/>
            <w:bottom w:type="dxa" w:w="0"/>
            <w:right w:type="dxa" w:w="0"/>
          </w:tcMar>
        </w:tcPr>
        <w:p>
          <w:pPr>
            <w:spacing w:after="0" w:before="0"/>
            <w:jc w:val="right"/>
          </w:pPr>
          <w:r>
            <w:rPr>
              <w:rFonts w:ascii="Trebuchet MS" w:cs="Trebuchet MS" w:eastAsia="Trebuchet MS" w:hAnsi="Trebuchet MS"/>
              <w:color w:val="6B7280"/>
              <w:sz w:val="15"/>
              <w:szCs w:val="15"/>
            </w:rPr>
            <w:t xml:space="preserve">Page </w:t>
          </w:r>
          <w:r>
            <w:rPr>
              <w:rFonts w:ascii="Trebuchet MS" w:cs="Trebuchet MS" w:eastAsia="Trebuchet MS" w:hAnsi="Trebuchet MS"/>
              <w:color w:val="6B7280"/>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5934"/>
      <w:gridCol w:w="3956"/>
    </w:tblGrid>
    <w:tr>
      <w:tc>
        <w:tcPr>
          <w:tcBorders>
            <w:top w:val="none" w:color="FFFFFF" w:sz="0"/>
            <w:left w:val="none" w:color="FFFFFF" w:sz="0"/>
            <w:bottom w:val="single" w:color="E5E7EB" w:sz="4"/>
            <w:right w:val="none" w:color="FFFFFF" w:sz="0"/>
          </w:tcBorders>
          <w:tcMar>
            <w:top w:type="dxa" w:w="40"/>
            <w:left w:type="dxa" w:w="0"/>
            <w:bottom w:type="dxa" w:w="80"/>
            <w:right w:type="dxa" w:w="0"/>
          </w:tcMar>
        </w:tcPr>
        <w:p>
          <w:pPr>
            <w:spacing w:after="0" w:before="0"/>
          </w:pPr>
          <w:r>
            <w:rPr>
              <w:rFonts w:ascii="Trebuchet MS" w:cs="Trebuchet MS" w:eastAsia="Trebuchet MS" w:hAnsi="Trebuchet MS"/>
              <w:color w:val="6B7280"/>
              <w:sz w:val="16"/>
              <w:szCs w:val="16"/>
            </w:rPr>
            <w:t xml:space="preserve">GI Partners of Illinois — IA Audit</w:t>
          </w:r>
        </w:p>
      </w:tc>
      <w:tc>
        <w:tcPr>
          <w:tcBorders>
            <w:top w:val="none" w:color="FFFFFF" w:sz="0"/>
            <w:left w:val="none" w:color="FFFFFF" w:sz="0"/>
            <w:bottom w:val="single" w:color="E5E7EB" w:sz="4"/>
            <w:right w:val="none" w:color="FFFFFF" w:sz="0"/>
          </w:tcBorders>
          <w:tcMar>
            <w:top w:type="dxa" w:w="40"/>
            <w:left w:type="dxa" w:w="0"/>
            <w:bottom w:type="dxa" w:w="80"/>
            <w:right w:type="dxa" w:w="0"/>
          </w:tcMar>
        </w:tcPr>
        <w:p>
          <w:pPr>
            <w:spacing w:after="0" w:before="0"/>
            <w:jc w:val="right"/>
          </w:pPr>
          <w:r>
            <w:rPr>
              <w:rFonts w:ascii="Trebuchet MS" w:cs="Trebuchet MS" w:eastAsia="Trebuchet MS" w:hAnsi="Trebuchet MS"/>
              <w:color w:val="6B7280"/>
              <w:sz w:val="16"/>
              <w:szCs w:val="16"/>
            </w:rPr>
            <w:t xml:space="preserve">designsuite.ai  ·  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bel" w:cs="Corbel" w:eastAsia="Corbel" w:hAnsi="Corbe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 w:before="12"/>
      <w:outlineLvl w:val="0"/>
    </w:pPr>
    <w:rPr>
      <w:rFonts w:ascii="Georgia" w:cs="Georgia" w:eastAsia="Georgia" w:hAnsi="Georgia"/>
      <w:b w:val="false"/>
      <w:bCs w:val="false"/>
      <w:color w:val="313956"/>
      <w:sz w:val="44"/>
      <w:szCs w:val="44"/>
    </w:rPr>
  </w:style>
  <w:style w:type="paragraph" w:styleId="Heading2">
    <w:name w:val="Heading 2"/>
    <w:basedOn w:val="Normal"/>
    <w:next w:val="Normal"/>
    <w:qFormat/>
    <w:pPr>
      <w:spacing w:after="12" w:before="28"/>
      <w:outlineLvl w:val="1"/>
    </w:pPr>
    <w:rPr>
      <w:rFonts w:ascii="Georgia" w:cs="Georgia" w:eastAsia="Georgia" w:hAnsi="Georgia"/>
      <w:b w:val="false"/>
      <w:bCs w:val="false"/>
      <w:color w:val="313956"/>
      <w:sz w:val="28"/>
      <w:szCs w:val="28"/>
    </w:rPr>
  </w:style>
  <w:style w:type="character" w:styleId="TableContents">
    <w:name w:val="Table Contents"/>
    <w:basedOn w:val="Normal"/>
    <w:uiPriority w:val="99"/>
    <w:unhideWhenUsed/>
    <w:rPr>
      <w:rFonts w:ascii="Corbel" w:cs="Corbel" w:eastAsia="Corbel" w:hAnsi="Corbel"/>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2026-05-29T19:31:55.416Z</dcterms:created>
  <dcterms:modified xsi:type="dcterms:W3CDTF">2026-05-29T19:31:55.416Z</dcterms:modified>
</cp:coreProperties>
</file>

<file path=docProps/custom.xml><?xml version="1.0" encoding="utf-8"?>
<Properties xmlns="http://schemas.openxmlformats.org/officeDocument/2006/custom-properties" xmlns:vt="http://schemas.openxmlformats.org/officeDocument/2006/docPropsVTypes"/>
</file>