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66F6" w14:textId="18711C4D" w:rsidR="00E006A4" w:rsidRDefault="00E006A4">
      <w:pPr>
        <w:rPr>
          <w:color w:val="FF0000"/>
        </w:rPr>
      </w:pPr>
      <w:r w:rsidRPr="000C6D36">
        <w:rPr>
          <w:b/>
          <w:bCs/>
        </w:rPr>
        <w:t>Manuscript Title</w:t>
      </w:r>
      <w:r w:rsidRPr="000C6D36">
        <w:t xml:space="preserve">: </w:t>
      </w:r>
      <w:r w:rsidR="00B76EF6" w:rsidRPr="000A1790">
        <w:rPr>
          <w:color w:val="FF0000"/>
        </w:rPr>
        <w:t>Title</w:t>
      </w:r>
    </w:p>
    <w:p w14:paraId="44965DE5" w14:textId="77CC427D" w:rsidR="009826C5" w:rsidRDefault="00B57782">
      <w:r w:rsidRPr="00B57782">
        <w:t xml:space="preserve">Dear </w:t>
      </w:r>
      <w:r w:rsidR="00A920F9">
        <w:t xml:space="preserve">Prof. </w:t>
      </w:r>
      <w:r w:rsidR="00C9146E">
        <w:rPr>
          <w:color w:val="FF0000"/>
        </w:rPr>
        <w:t>HandlingE</w:t>
      </w:r>
      <w:r w:rsidR="009D7B55">
        <w:rPr>
          <w:color w:val="FF0000"/>
        </w:rPr>
        <w:t>ditorName</w:t>
      </w:r>
      <w:r w:rsidRPr="00B57782">
        <w:t xml:space="preserve">, </w:t>
      </w:r>
    </w:p>
    <w:p w14:paraId="7448DBD1" w14:textId="2263706D" w:rsidR="00B57782" w:rsidRDefault="009826C5">
      <w:r>
        <w:t>T</w:t>
      </w:r>
      <w:r w:rsidR="00B57782" w:rsidRPr="00B57782">
        <w:t xml:space="preserve">hank you for giving us the opportunity to submit a revised draft of the </w:t>
      </w:r>
      <w:r w:rsidR="0050583C">
        <w:t>manuscript</w:t>
      </w:r>
      <w:r w:rsidR="00B57782" w:rsidRPr="00B57782">
        <w:t xml:space="preserve">. We appreciate the time and effort that you and the reviewers dedicated to providing feedback on </w:t>
      </w:r>
      <w:r w:rsidR="00A45410" w:rsidRPr="00B57782">
        <w:t>our manuscript</w:t>
      </w:r>
      <w:r w:rsidR="00B57782" w:rsidRPr="00B57782">
        <w:t xml:space="preserve"> and are grateful for the insightful comments on and valuable improvements to our paper. We have </w:t>
      </w:r>
      <w:r w:rsidR="00E51F7F" w:rsidRPr="00B57782">
        <w:t>incorporated most</w:t>
      </w:r>
      <w:r w:rsidR="00B57782" w:rsidRPr="00B57782">
        <w:t xml:space="preserve"> of the suggestions made by the reviewers. Those changes are highlighted within the manuscript. Please see below, in blue, for a point-by-point response to the reviewers’ comments and concerns. All page numbers refer to the revised manuscript file with tracked changes.</w:t>
      </w:r>
      <w:r w:rsidR="0023468C">
        <w:t xml:space="preserve"> </w:t>
      </w:r>
    </w:p>
    <w:p w14:paraId="5BDCC9B5" w14:textId="77777777" w:rsidR="0021650B" w:rsidRPr="000C6D36" w:rsidRDefault="0021650B" w:rsidP="006B404B">
      <w:pPr>
        <w:jc w:val="center"/>
      </w:pPr>
    </w:p>
    <w:p w14:paraId="65D103FC" w14:textId="5448CF21" w:rsidR="00BF2794" w:rsidRPr="007A6631" w:rsidRDefault="00BF2794" w:rsidP="006B404B">
      <w:pPr>
        <w:jc w:val="center"/>
        <w:rPr>
          <w:b/>
          <w:bCs/>
          <w:sz w:val="28"/>
          <w:szCs w:val="28"/>
          <w:u w:val="single"/>
        </w:rPr>
      </w:pPr>
      <w:r w:rsidRPr="007A6631">
        <w:rPr>
          <w:b/>
          <w:bCs/>
          <w:sz w:val="28"/>
          <w:szCs w:val="28"/>
          <w:u w:val="single"/>
        </w:rPr>
        <w:t>Reviewer Comments to the Authors</w:t>
      </w:r>
      <w:r w:rsidR="003E236B">
        <w:rPr>
          <w:b/>
          <w:bCs/>
          <w:sz w:val="28"/>
          <w:szCs w:val="28"/>
          <w:u w:val="single"/>
        </w:rPr>
        <w:t xml:space="preserve"> and Author Responses</w:t>
      </w:r>
    </w:p>
    <w:p w14:paraId="53C06E0E" w14:textId="77777777" w:rsidR="006B404B" w:rsidRDefault="006B404B" w:rsidP="001E2202">
      <w:pPr>
        <w:pStyle w:val="BodyText"/>
        <w:spacing w:before="1"/>
        <w:ind w:left="120"/>
      </w:pPr>
    </w:p>
    <w:p w14:paraId="0C1EA60D" w14:textId="522D91FF" w:rsidR="006B404B" w:rsidRPr="006B404B" w:rsidRDefault="006B404B" w:rsidP="001E2202">
      <w:pPr>
        <w:pStyle w:val="BodyText"/>
        <w:spacing w:before="1"/>
        <w:ind w:left="120"/>
        <w:rPr>
          <w:b/>
          <w:bCs/>
          <w:sz w:val="28"/>
          <w:szCs w:val="28"/>
          <w:u w:val="single"/>
        </w:rPr>
      </w:pPr>
      <w:r w:rsidRPr="006B404B">
        <w:rPr>
          <w:b/>
          <w:bCs/>
          <w:sz w:val="28"/>
          <w:szCs w:val="28"/>
          <w:u w:val="single"/>
        </w:rPr>
        <w:t>Reviewer 1</w:t>
      </w:r>
    </w:p>
    <w:p w14:paraId="6BD3EC7D" w14:textId="77777777" w:rsidR="006B404B" w:rsidRDefault="006B404B" w:rsidP="001E2202">
      <w:pPr>
        <w:pStyle w:val="BodyText"/>
        <w:spacing w:before="1"/>
        <w:ind w:left="120"/>
      </w:pPr>
    </w:p>
    <w:p w14:paraId="6E7C944E" w14:textId="3946CA84" w:rsidR="001E2202" w:rsidRDefault="001E2202" w:rsidP="001E2202">
      <w:pPr>
        <w:pStyle w:val="BodyText"/>
        <w:spacing w:before="1"/>
        <w:ind w:left="12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strengths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well-informed</w:t>
      </w:r>
      <w:r>
        <w:rPr>
          <w:spacing w:val="-3"/>
        </w:rPr>
        <w:t xml:space="preserve"> </w:t>
      </w:r>
      <w:r>
        <w:t>hypotheses.</w:t>
      </w:r>
    </w:p>
    <w:p w14:paraId="3C525EA9" w14:textId="77777777" w:rsidR="001E2202" w:rsidRDefault="001E2202" w:rsidP="001E2202">
      <w:pPr>
        <w:pStyle w:val="BodyText"/>
      </w:pPr>
    </w:p>
    <w:p w14:paraId="3F0649A5" w14:textId="77777777" w:rsidR="001E2202" w:rsidRDefault="001E2202" w:rsidP="001E2202">
      <w:pPr>
        <w:ind w:left="119"/>
      </w:pPr>
      <w:r>
        <w:rPr>
          <w:b/>
          <w:color w:val="2D74B5"/>
        </w:rPr>
        <w:t>Author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response</w:t>
      </w:r>
      <w:r>
        <w:rPr>
          <w:color w:val="2D74B5"/>
        </w:rPr>
        <w:t>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Thank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you!</w:t>
      </w:r>
    </w:p>
    <w:p w14:paraId="6F440705" w14:textId="77777777" w:rsidR="001E2202" w:rsidRDefault="001E2202" w:rsidP="001E2202">
      <w:pPr>
        <w:pStyle w:val="BodyText"/>
        <w:spacing w:before="1"/>
      </w:pPr>
    </w:p>
    <w:p w14:paraId="1FCE40FB" w14:textId="77777777" w:rsidR="001E2202" w:rsidRDefault="001E2202" w:rsidP="001E2202">
      <w:pPr>
        <w:pStyle w:val="ListParagraph"/>
        <w:widowControl w:val="0"/>
        <w:numPr>
          <w:ilvl w:val="0"/>
          <w:numId w:val="10"/>
        </w:numPr>
        <w:tabs>
          <w:tab w:val="left" w:pos="841"/>
        </w:tabs>
        <w:autoSpaceDE w:val="0"/>
        <w:autoSpaceDN w:val="0"/>
        <w:spacing w:after="0" w:line="240" w:lineRule="auto"/>
        <w:ind w:hanging="362"/>
        <w:contextualSpacing w:val="0"/>
      </w:pPr>
      <w:r>
        <w:t>Comment</w:t>
      </w:r>
      <w:r>
        <w:rPr>
          <w:spacing w:val="-1"/>
        </w:rPr>
        <w:t xml:space="preserve"> </w:t>
      </w:r>
      <w:r>
        <w:t>from Reviewer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noting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oversight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manuscript.</w:t>
      </w:r>
    </w:p>
    <w:p w14:paraId="469FA1E5" w14:textId="77777777" w:rsidR="001E2202" w:rsidRDefault="001E2202" w:rsidP="001E2202">
      <w:pPr>
        <w:pStyle w:val="BodyText"/>
      </w:pPr>
    </w:p>
    <w:p w14:paraId="75129752" w14:textId="77777777" w:rsidR="001E2202" w:rsidRDefault="001E2202" w:rsidP="001E2202">
      <w:pPr>
        <w:pStyle w:val="BodyText"/>
        <w:ind w:left="120" w:right="538"/>
      </w:pPr>
      <w:r>
        <w:rPr>
          <w:b/>
          <w:color w:val="2D74B5"/>
        </w:rPr>
        <w:t>Author response</w:t>
      </w:r>
      <w:r>
        <w:rPr>
          <w:color w:val="2D74B5"/>
        </w:rPr>
        <w:t>: Thank you for pointing this out. The reviewer is correct, and we have [explain the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change made].</w:t>
      </w:r>
    </w:p>
    <w:p w14:paraId="6544096A" w14:textId="77777777" w:rsidR="001E2202" w:rsidRDefault="001E2202" w:rsidP="001E2202">
      <w:pPr>
        <w:pStyle w:val="BodyText"/>
        <w:spacing w:before="10"/>
        <w:rPr>
          <w:sz w:val="21"/>
        </w:rPr>
      </w:pPr>
    </w:p>
    <w:p w14:paraId="7E2A259C" w14:textId="2A559B92" w:rsidR="001E2202" w:rsidRDefault="001E2202" w:rsidP="001E2202">
      <w:pPr>
        <w:pStyle w:val="BodyText"/>
        <w:spacing w:before="1"/>
        <w:ind w:left="120" w:right="514"/>
      </w:pPr>
      <w:r>
        <w:rPr>
          <w:color w:val="2D74B5"/>
        </w:rPr>
        <w:t xml:space="preserve">The revised text reads as follows </w:t>
      </w:r>
      <w:r w:rsidR="00977920">
        <w:rPr>
          <w:color w:val="2D74B5"/>
        </w:rPr>
        <w:t xml:space="preserve">in L121 </w:t>
      </w:r>
      <w:r>
        <w:rPr>
          <w:color w:val="2D74B5"/>
        </w:rPr>
        <w:t>[insert the exact location where the change can be found in the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revised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manuscript]:</w:t>
      </w:r>
    </w:p>
    <w:p w14:paraId="31F1C669" w14:textId="77777777" w:rsidR="001E2202" w:rsidRDefault="001E2202" w:rsidP="001E2202">
      <w:pPr>
        <w:pStyle w:val="BodyText"/>
      </w:pPr>
    </w:p>
    <w:p w14:paraId="235583FC" w14:textId="77777777" w:rsidR="001E2202" w:rsidRDefault="001E2202" w:rsidP="001E2202">
      <w:pPr>
        <w:ind w:left="840"/>
      </w:pPr>
      <w:r>
        <w:rPr>
          <w:color w:val="2D74B5"/>
        </w:rPr>
        <w:t>“[</w:t>
      </w:r>
      <w:r>
        <w:rPr>
          <w:i/>
          <w:color w:val="2D74B5"/>
        </w:rPr>
        <w:t>updated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text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manuscript</w:t>
      </w:r>
      <w:r>
        <w:rPr>
          <w:color w:val="2D74B5"/>
        </w:rPr>
        <w:t>]”</w:t>
      </w:r>
    </w:p>
    <w:p w14:paraId="22B52C39" w14:textId="77777777" w:rsidR="001E2202" w:rsidRDefault="001E2202" w:rsidP="001E2202">
      <w:pPr>
        <w:pStyle w:val="BodyText"/>
      </w:pPr>
    </w:p>
    <w:p w14:paraId="1B6E39BC" w14:textId="77777777" w:rsidR="001E2202" w:rsidRDefault="001E2202" w:rsidP="001E2202">
      <w:pPr>
        <w:pStyle w:val="ListParagraph"/>
        <w:widowControl w:val="0"/>
        <w:numPr>
          <w:ilvl w:val="0"/>
          <w:numId w:val="10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</w:pPr>
      <w:r>
        <w:t>Comment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Reviewer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suggesting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manuscript.</w:t>
      </w:r>
    </w:p>
    <w:p w14:paraId="6EA9AF85" w14:textId="77777777" w:rsidR="001E2202" w:rsidRDefault="001E2202" w:rsidP="001E2202">
      <w:pPr>
        <w:pStyle w:val="BodyText"/>
      </w:pPr>
    </w:p>
    <w:p w14:paraId="7EBF736E" w14:textId="77777777" w:rsidR="001E2202" w:rsidRDefault="001E2202" w:rsidP="001E2202">
      <w:pPr>
        <w:pStyle w:val="BodyText"/>
        <w:spacing w:before="1"/>
        <w:ind w:left="120" w:right="334"/>
      </w:pPr>
      <w:r>
        <w:rPr>
          <w:b/>
          <w:color w:val="2D74B5"/>
        </w:rPr>
        <w:t>Author response</w:t>
      </w:r>
      <w:r>
        <w:rPr>
          <w:color w:val="2D74B5"/>
        </w:rPr>
        <w:t>: As suggested by the reviewer, we have [explain the specific change made, including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the exact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location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where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change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can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be found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 revised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manuscript].</w:t>
      </w:r>
    </w:p>
    <w:p w14:paraId="11BC3561" w14:textId="77777777" w:rsidR="001E2202" w:rsidRDefault="001E2202" w:rsidP="001E2202">
      <w:pPr>
        <w:pStyle w:val="BodyText"/>
        <w:spacing w:before="10"/>
        <w:rPr>
          <w:sz w:val="21"/>
        </w:rPr>
      </w:pPr>
    </w:p>
    <w:p w14:paraId="7C588BCC" w14:textId="77777777" w:rsidR="001E2202" w:rsidRDefault="001E2202" w:rsidP="001E2202">
      <w:pPr>
        <w:pStyle w:val="ListParagraph"/>
        <w:widowControl w:val="0"/>
        <w:numPr>
          <w:ilvl w:val="0"/>
          <w:numId w:val="10"/>
        </w:numPr>
        <w:tabs>
          <w:tab w:val="left" w:pos="841"/>
        </w:tabs>
        <w:autoSpaceDE w:val="0"/>
        <w:autoSpaceDN w:val="0"/>
        <w:spacing w:after="0" w:line="240" w:lineRule="auto"/>
        <w:ind w:right="199" w:hanging="360"/>
        <w:contextualSpacing w:val="0"/>
      </w:pPr>
      <w:r>
        <w:t>Comment from Reviewer 1 suggesting a widespread change to the manuscript that would need</w:t>
      </w:r>
      <w:r>
        <w:rPr>
          <w:spacing w:val="-47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multiple places.</w:t>
      </w:r>
    </w:p>
    <w:p w14:paraId="6BF80ED6" w14:textId="77777777" w:rsidR="001E2202" w:rsidRDefault="001E2202" w:rsidP="001E2202">
      <w:pPr>
        <w:pStyle w:val="BodyText"/>
      </w:pPr>
    </w:p>
    <w:p w14:paraId="265E2027" w14:textId="77777777" w:rsidR="001E2202" w:rsidRDefault="001E2202" w:rsidP="001E2202">
      <w:pPr>
        <w:pStyle w:val="BodyText"/>
        <w:spacing w:before="1"/>
        <w:ind w:left="120" w:right="351"/>
        <w:jc w:val="both"/>
      </w:pPr>
      <w:r>
        <w:rPr>
          <w:b/>
          <w:color w:val="2D74B5"/>
        </w:rPr>
        <w:t xml:space="preserve">Author response: </w:t>
      </w:r>
      <w:r>
        <w:rPr>
          <w:color w:val="2D74B5"/>
        </w:rPr>
        <w:t>We agree with the reviewer’s assessment. Accordingly, throughout the manuscript,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we have revised [explain the widespread change made, for instance, switching the order in which the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study variables are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presented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replacing 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term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or acronym in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paper].</w:t>
      </w:r>
    </w:p>
    <w:p w14:paraId="04044E1D" w14:textId="77777777" w:rsidR="001E2202" w:rsidRDefault="001E2202" w:rsidP="001E2202">
      <w:pPr>
        <w:pStyle w:val="BodyText"/>
      </w:pPr>
    </w:p>
    <w:p w14:paraId="34356F20" w14:textId="77777777" w:rsidR="001E2202" w:rsidRDefault="001E2202" w:rsidP="001E2202">
      <w:pPr>
        <w:pStyle w:val="ListParagraph"/>
        <w:widowControl w:val="0"/>
        <w:numPr>
          <w:ilvl w:val="0"/>
          <w:numId w:val="10"/>
        </w:numPr>
        <w:tabs>
          <w:tab w:val="left" w:pos="840"/>
        </w:tabs>
        <w:autoSpaceDE w:val="0"/>
        <w:autoSpaceDN w:val="0"/>
        <w:spacing w:after="0" w:line="240" w:lineRule="auto"/>
        <w:ind w:left="839" w:right="603"/>
        <w:contextualSpacing w:val="0"/>
      </w:pPr>
      <w:r>
        <w:t>Comment from Reviewer 1 asking for discussion or analysis that is beyond the scope of the</w:t>
      </w:r>
      <w:r>
        <w:rPr>
          <w:spacing w:val="-47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available.</w:t>
      </w:r>
    </w:p>
    <w:p w14:paraId="00F4E822" w14:textId="77777777" w:rsidR="001E2202" w:rsidRDefault="001E2202" w:rsidP="001E2202">
      <w:pPr>
        <w:sectPr w:rsidR="001E2202" w:rsidSect="001E2202">
          <w:pgSz w:w="12240" w:h="15840"/>
          <w:pgMar w:top="1400" w:right="1360" w:bottom="280" w:left="1320" w:header="720" w:footer="720" w:gutter="0"/>
          <w:cols w:space="720"/>
        </w:sectPr>
      </w:pPr>
    </w:p>
    <w:p w14:paraId="4E7A1B18" w14:textId="77777777" w:rsidR="001E2202" w:rsidRDefault="001E2202" w:rsidP="001E2202">
      <w:pPr>
        <w:pStyle w:val="BodyText"/>
        <w:spacing w:before="5"/>
        <w:rPr>
          <w:sz w:val="12"/>
        </w:rPr>
      </w:pPr>
    </w:p>
    <w:p w14:paraId="3D6E5125" w14:textId="77777777" w:rsidR="001E2202" w:rsidRDefault="001E2202" w:rsidP="001E2202">
      <w:pPr>
        <w:pStyle w:val="BodyText"/>
        <w:spacing w:before="56"/>
        <w:ind w:left="119" w:right="310"/>
      </w:pPr>
      <w:r>
        <w:rPr>
          <w:b/>
          <w:color w:val="2D74B5"/>
        </w:rPr>
        <w:t xml:space="preserve">Author response: </w:t>
      </w:r>
      <w:r>
        <w:rPr>
          <w:color w:val="2D74B5"/>
        </w:rPr>
        <w:t>Thank you for this suggestion. It would have been interesting to explore this aspect.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However, in our study, this would not be possible because [provide a clear explanation for why the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suggestion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was not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implemented].</w:t>
      </w:r>
    </w:p>
    <w:p w14:paraId="4C2BCD2F" w14:textId="77777777" w:rsidR="001E2202" w:rsidRDefault="001E2202" w:rsidP="001E2202">
      <w:pPr>
        <w:pStyle w:val="BodyText"/>
        <w:spacing w:before="11"/>
        <w:rPr>
          <w:sz w:val="21"/>
        </w:rPr>
      </w:pPr>
    </w:p>
    <w:p w14:paraId="476B6E9F" w14:textId="77777777" w:rsidR="001E2202" w:rsidRDefault="001E2202" w:rsidP="001E2202">
      <w:pPr>
        <w:pStyle w:val="ListParagraph"/>
        <w:widowControl w:val="0"/>
        <w:numPr>
          <w:ilvl w:val="0"/>
          <w:numId w:val="10"/>
        </w:numPr>
        <w:tabs>
          <w:tab w:val="left" w:pos="841"/>
        </w:tabs>
        <w:autoSpaceDE w:val="0"/>
        <w:autoSpaceDN w:val="0"/>
        <w:spacing w:after="0" w:line="240" w:lineRule="auto"/>
        <w:ind w:hanging="362"/>
        <w:contextualSpacing w:val="0"/>
      </w:pPr>
      <w:r>
        <w:t>Comment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Reviewer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typographic,</w:t>
      </w:r>
      <w:r>
        <w:rPr>
          <w:spacing w:val="-2"/>
        </w:rPr>
        <w:t xml:space="preserve"> </w:t>
      </w:r>
      <w:r>
        <w:t>spelling,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grammatical</w:t>
      </w:r>
      <w:r>
        <w:rPr>
          <w:spacing w:val="-4"/>
        </w:rPr>
        <w:t xml:space="preserve"> </w:t>
      </w:r>
      <w:r>
        <w:t>mistake.</w:t>
      </w:r>
    </w:p>
    <w:p w14:paraId="7F7FAED6" w14:textId="77777777" w:rsidR="001E2202" w:rsidRDefault="001E2202" w:rsidP="001E2202">
      <w:pPr>
        <w:pStyle w:val="BodyText"/>
      </w:pPr>
    </w:p>
    <w:p w14:paraId="60634937" w14:textId="77777777" w:rsidR="001E2202" w:rsidRDefault="001E2202" w:rsidP="001E2202">
      <w:pPr>
        <w:pStyle w:val="BodyText"/>
        <w:ind w:left="119" w:right="337"/>
      </w:pPr>
      <w:r>
        <w:rPr>
          <w:b/>
          <w:color w:val="2D74B5"/>
        </w:rPr>
        <w:t xml:space="preserve">Author response: </w:t>
      </w:r>
      <w:r>
        <w:rPr>
          <w:color w:val="2D74B5"/>
        </w:rPr>
        <w:t>Thank you for pointing this out. The [describe the correction made] has been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corrected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[insert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exact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location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where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 change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can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be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found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revised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manuscript].</w:t>
      </w:r>
    </w:p>
    <w:p w14:paraId="5BFCBE63" w14:textId="77777777" w:rsidR="001E2202" w:rsidRDefault="001E2202" w:rsidP="001E2202">
      <w:pPr>
        <w:pStyle w:val="BodyText"/>
      </w:pPr>
    </w:p>
    <w:p w14:paraId="0A20BC07" w14:textId="77777777" w:rsidR="001E2202" w:rsidRDefault="001E2202" w:rsidP="001E2202">
      <w:pPr>
        <w:pStyle w:val="ListParagraph"/>
        <w:widowControl w:val="0"/>
        <w:numPr>
          <w:ilvl w:val="0"/>
          <w:numId w:val="10"/>
        </w:numPr>
        <w:tabs>
          <w:tab w:val="left" w:pos="841"/>
        </w:tabs>
        <w:autoSpaceDE w:val="0"/>
        <w:autoSpaceDN w:val="0"/>
        <w:spacing w:before="1" w:after="0" w:line="240" w:lineRule="auto"/>
        <w:contextualSpacing w:val="0"/>
      </w:pPr>
      <w:r>
        <w:t>Comment</w:t>
      </w:r>
      <w:r>
        <w:rPr>
          <w:spacing w:val="-1"/>
        </w:rPr>
        <w:t xml:space="preserve"> </w:t>
      </w:r>
      <w:r>
        <w:t>from Reviewer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suggestion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manuscript.</w:t>
      </w:r>
    </w:p>
    <w:p w14:paraId="24DA06C7" w14:textId="77777777" w:rsidR="001E2202" w:rsidRDefault="001E2202" w:rsidP="001E2202">
      <w:pPr>
        <w:pStyle w:val="BodyText"/>
      </w:pPr>
    </w:p>
    <w:p w14:paraId="5B42B68A" w14:textId="77777777" w:rsidR="001E2202" w:rsidRDefault="001E2202" w:rsidP="001E2202">
      <w:pPr>
        <w:pStyle w:val="BodyText"/>
        <w:ind w:left="120" w:right="119"/>
      </w:pPr>
      <w:r>
        <w:rPr>
          <w:b/>
          <w:color w:val="006FC0"/>
        </w:rPr>
        <w:t>Author response</w:t>
      </w:r>
      <w:r>
        <w:rPr>
          <w:color w:val="006FC0"/>
        </w:rPr>
        <w:t xml:space="preserve">: We </w:t>
      </w:r>
      <w:r>
        <w:rPr>
          <w:color w:val="2D74B5"/>
        </w:rPr>
        <w:t>think this is an excellent suggestion. We have [explain the change made, including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the exact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location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where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change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can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be found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revised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manuscript].</w:t>
      </w:r>
    </w:p>
    <w:p w14:paraId="2961B974" w14:textId="77777777" w:rsidR="001E2202" w:rsidRDefault="001E2202" w:rsidP="001E2202">
      <w:pPr>
        <w:pStyle w:val="BodyText"/>
      </w:pPr>
    </w:p>
    <w:p w14:paraId="25147182" w14:textId="77777777" w:rsidR="001E2202" w:rsidRDefault="001E2202" w:rsidP="001E2202">
      <w:pPr>
        <w:pStyle w:val="BodyText"/>
        <w:spacing w:before="4"/>
        <w:rPr>
          <w:sz w:val="16"/>
        </w:rPr>
      </w:pPr>
    </w:p>
    <w:p w14:paraId="1C533DF4" w14:textId="77777777" w:rsidR="001E2202" w:rsidRPr="00AB1FD9" w:rsidRDefault="001E2202" w:rsidP="001E2202">
      <w:pPr>
        <w:pStyle w:val="Heading1"/>
        <w:rPr>
          <w:sz w:val="28"/>
          <w:szCs w:val="28"/>
          <w:u w:val="single"/>
        </w:rPr>
      </w:pPr>
      <w:r w:rsidRPr="00AB1FD9">
        <w:rPr>
          <w:sz w:val="28"/>
          <w:szCs w:val="28"/>
          <w:u w:val="single"/>
        </w:rPr>
        <w:t>Reviewer</w:t>
      </w:r>
      <w:r w:rsidRPr="00AB1FD9">
        <w:rPr>
          <w:spacing w:val="-3"/>
          <w:sz w:val="28"/>
          <w:szCs w:val="28"/>
          <w:u w:val="single"/>
        </w:rPr>
        <w:t xml:space="preserve"> </w:t>
      </w:r>
      <w:r w:rsidRPr="00AB1FD9">
        <w:rPr>
          <w:sz w:val="28"/>
          <w:szCs w:val="28"/>
          <w:u w:val="single"/>
        </w:rPr>
        <w:t>2</w:t>
      </w:r>
    </w:p>
    <w:p w14:paraId="407C762F" w14:textId="77777777" w:rsidR="001E2202" w:rsidRDefault="001E2202" w:rsidP="001E2202">
      <w:pPr>
        <w:pStyle w:val="BodyText"/>
        <w:spacing w:before="10"/>
        <w:rPr>
          <w:b/>
          <w:sz w:val="21"/>
        </w:rPr>
      </w:pPr>
    </w:p>
    <w:p w14:paraId="01CEB9ED" w14:textId="77777777" w:rsidR="001E2202" w:rsidRDefault="001E2202" w:rsidP="001E2202">
      <w:pPr>
        <w:pStyle w:val="BodyText"/>
        <w:ind w:left="120"/>
      </w:pPr>
      <w:r>
        <w:t>In</w:t>
      </w:r>
      <w:r>
        <w:rPr>
          <w:spacing w:val="-3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literature or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science.</w:t>
      </w:r>
    </w:p>
    <w:p w14:paraId="72BF6C32" w14:textId="77777777" w:rsidR="001E2202" w:rsidRDefault="001E2202" w:rsidP="001E2202">
      <w:pPr>
        <w:pStyle w:val="BodyText"/>
      </w:pPr>
    </w:p>
    <w:p w14:paraId="34A6B5B9" w14:textId="77777777" w:rsidR="001E2202" w:rsidRDefault="001E2202" w:rsidP="001E2202">
      <w:pPr>
        <w:pStyle w:val="BodyText"/>
        <w:ind w:left="119" w:right="188"/>
      </w:pPr>
      <w:r>
        <w:rPr>
          <w:b/>
          <w:color w:val="2D74B5"/>
        </w:rPr>
        <w:t>Author response</w:t>
      </w:r>
      <w:r>
        <w:rPr>
          <w:color w:val="2D74B5"/>
        </w:rPr>
        <w:t>: While we appreciate the reviewer’s feedback, we respectfully disagree. We think this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study makes a valuable contribution to the field because [describe the knowledge gained, insights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provided,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questions answered, etc. by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study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and/or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its results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or findings].</w:t>
      </w:r>
    </w:p>
    <w:p w14:paraId="7A9658D7" w14:textId="77777777" w:rsidR="001E2202" w:rsidRDefault="001E2202" w:rsidP="001E2202">
      <w:pPr>
        <w:pStyle w:val="BodyText"/>
        <w:spacing w:before="11"/>
        <w:rPr>
          <w:sz w:val="31"/>
        </w:rPr>
      </w:pPr>
    </w:p>
    <w:p w14:paraId="74DB19C0" w14:textId="77777777" w:rsidR="001E2202" w:rsidRDefault="001E2202" w:rsidP="001E2202">
      <w:pPr>
        <w:pStyle w:val="ListParagraph"/>
        <w:widowControl w:val="0"/>
        <w:numPr>
          <w:ilvl w:val="0"/>
          <w:numId w:val="9"/>
        </w:numPr>
        <w:tabs>
          <w:tab w:val="left" w:pos="841"/>
        </w:tabs>
        <w:autoSpaceDE w:val="0"/>
        <w:autoSpaceDN w:val="0"/>
        <w:spacing w:after="0" w:line="240" w:lineRule="auto"/>
        <w:ind w:right="947"/>
        <w:contextualSpacing w:val="0"/>
      </w:pPr>
      <w:r>
        <w:t>Comment from Reviewer 2 asking for discussion or analyses that are not possible given</w:t>
      </w:r>
      <w:r>
        <w:rPr>
          <w:spacing w:val="-47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available.</w:t>
      </w:r>
    </w:p>
    <w:p w14:paraId="1477DF73" w14:textId="77777777" w:rsidR="001E2202" w:rsidRDefault="001E2202" w:rsidP="001E2202">
      <w:pPr>
        <w:pStyle w:val="BodyText"/>
      </w:pPr>
    </w:p>
    <w:p w14:paraId="55C40CA0" w14:textId="77777777" w:rsidR="001E2202" w:rsidRDefault="001E2202" w:rsidP="001E2202">
      <w:pPr>
        <w:pStyle w:val="BodyText"/>
        <w:spacing w:before="1"/>
        <w:ind w:left="119"/>
      </w:pPr>
      <w:r>
        <w:rPr>
          <w:b/>
          <w:color w:val="2D74B5"/>
        </w:rPr>
        <w:t>Author response</w:t>
      </w:r>
      <w:r>
        <w:rPr>
          <w:color w:val="2D74B5"/>
        </w:rPr>
        <w:t>: Thank you for pointing this out. Although we agree that this is an important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consideration, it is [beyond the scope / not appropriate for inclusion / cannot be analyzed] in this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manuscript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because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[provide 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justification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why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content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cannot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be added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manuscript].</w:t>
      </w:r>
    </w:p>
    <w:p w14:paraId="5D254BC3" w14:textId="77777777" w:rsidR="001E2202" w:rsidRDefault="001E2202" w:rsidP="001E2202">
      <w:pPr>
        <w:pStyle w:val="BodyText"/>
        <w:spacing w:before="10"/>
        <w:rPr>
          <w:sz w:val="21"/>
        </w:rPr>
      </w:pPr>
    </w:p>
    <w:p w14:paraId="7AD8586B" w14:textId="77777777" w:rsidR="001E2202" w:rsidRDefault="001E2202" w:rsidP="001E2202">
      <w:pPr>
        <w:pStyle w:val="ListParagraph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40" w:lineRule="auto"/>
        <w:ind w:left="839" w:right="406"/>
        <w:contextualSpacing w:val="0"/>
      </w:pPr>
      <w:r>
        <w:t>Comment from Reviewer 2 asking for additional content (e.g., more background on a topic in</w:t>
      </w:r>
      <w:r>
        <w:rPr>
          <w:spacing w:val="-47"/>
        </w:rPr>
        <w:t xml:space="preserve"> </w:t>
      </w:r>
      <w:r>
        <w:t>the introduction,</w:t>
      </w:r>
      <w:r>
        <w:rPr>
          <w:spacing w:val="-2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reflection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finding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Discussion)</w:t>
      </w:r>
    </w:p>
    <w:p w14:paraId="58C5063E" w14:textId="77777777" w:rsidR="001E2202" w:rsidRDefault="001E2202" w:rsidP="001E2202">
      <w:pPr>
        <w:pStyle w:val="BodyText"/>
      </w:pPr>
    </w:p>
    <w:p w14:paraId="198D5EA7" w14:textId="77777777" w:rsidR="001E2202" w:rsidRDefault="001E2202" w:rsidP="001E2202">
      <w:pPr>
        <w:pStyle w:val="BodyText"/>
        <w:spacing w:before="1"/>
        <w:ind w:left="119" w:right="145"/>
      </w:pPr>
      <w:r>
        <w:rPr>
          <w:b/>
          <w:color w:val="2D74B5"/>
        </w:rPr>
        <w:t>Author response</w:t>
      </w:r>
      <w:r>
        <w:rPr>
          <w:color w:val="2D74B5"/>
        </w:rPr>
        <w:t>: We have added the suggested content to the manuscript on [insert the exact location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where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change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be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found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 revised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manuscript].</w:t>
      </w:r>
    </w:p>
    <w:p w14:paraId="5F74F63F" w14:textId="77777777" w:rsidR="001E2202" w:rsidRDefault="001E2202" w:rsidP="001E2202">
      <w:pPr>
        <w:pStyle w:val="BodyText"/>
      </w:pPr>
    </w:p>
    <w:p w14:paraId="2517B6F7" w14:textId="77777777" w:rsidR="001E2202" w:rsidRDefault="001E2202" w:rsidP="001E2202">
      <w:pPr>
        <w:pStyle w:val="ListParagraph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40" w:lineRule="auto"/>
        <w:ind w:left="839"/>
        <w:contextualSpacing w:val="0"/>
      </w:pPr>
      <w:r>
        <w:t>Comment</w:t>
      </w:r>
      <w:r>
        <w:rPr>
          <w:spacing w:val="-1"/>
        </w:rPr>
        <w:t xml:space="preserve"> </w:t>
      </w:r>
      <w:r>
        <w:t>from Reviewer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manuscript</w:t>
      </w:r>
    </w:p>
    <w:p w14:paraId="19D2E0AC" w14:textId="77777777" w:rsidR="001E2202" w:rsidRDefault="001E2202" w:rsidP="001E2202">
      <w:pPr>
        <w:pStyle w:val="BodyText"/>
        <w:spacing w:before="10"/>
        <w:rPr>
          <w:sz w:val="21"/>
        </w:rPr>
      </w:pPr>
    </w:p>
    <w:p w14:paraId="4A01F023" w14:textId="77777777" w:rsidR="001E2202" w:rsidRDefault="001E2202" w:rsidP="001E2202">
      <w:pPr>
        <w:pStyle w:val="BodyText"/>
        <w:ind w:left="119"/>
      </w:pPr>
      <w:r>
        <w:rPr>
          <w:b/>
          <w:color w:val="2D74B5"/>
        </w:rPr>
        <w:t>Author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response</w:t>
      </w:r>
      <w:r>
        <w:rPr>
          <w:color w:val="2D74B5"/>
        </w:rPr>
        <w:t>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[Specific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section]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has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been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updated,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such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that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[explain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change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made].</w:t>
      </w:r>
    </w:p>
    <w:p w14:paraId="47665DC2" w14:textId="77777777" w:rsidR="001E2202" w:rsidRDefault="001E2202" w:rsidP="001E2202">
      <w:pPr>
        <w:pStyle w:val="BodyText"/>
        <w:spacing w:before="1"/>
      </w:pPr>
    </w:p>
    <w:p w14:paraId="3D27BCA9" w14:textId="77777777" w:rsidR="001E2202" w:rsidRDefault="001E2202" w:rsidP="001E2202">
      <w:pPr>
        <w:pStyle w:val="ListParagraph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40" w:lineRule="auto"/>
        <w:ind w:left="839"/>
        <w:contextualSpacing w:val="0"/>
      </w:pPr>
      <w:r>
        <w:t>Comment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Reviewer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unaddressed</w:t>
      </w:r>
      <w:r>
        <w:rPr>
          <w:spacing w:val="-3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study.</w:t>
      </w:r>
    </w:p>
    <w:p w14:paraId="387D696D" w14:textId="77777777" w:rsidR="001E2202" w:rsidRDefault="001E2202" w:rsidP="001E2202">
      <w:pPr>
        <w:pStyle w:val="BodyText"/>
      </w:pPr>
    </w:p>
    <w:p w14:paraId="3E423FC2" w14:textId="77777777" w:rsidR="001E2202" w:rsidRDefault="001E2202" w:rsidP="001E2202">
      <w:pPr>
        <w:pStyle w:val="BodyText"/>
        <w:ind w:left="119" w:right="629"/>
      </w:pPr>
      <w:r>
        <w:rPr>
          <w:b/>
          <w:color w:val="2D74B5"/>
        </w:rPr>
        <w:t>Author response</w:t>
      </w:r>
      <w:r>
        <w:rPr>
          <w:color w:val="2D74B5"/>
        </w:rPr>
        <w:t>: We agree that this is a potential limitation of the study. We have added this as a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limitation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[insert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exact location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where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change can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be found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revised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manuscript]:</w:t>
      </w:r>
    </w:p>
    <w:p w14:paraId="0E94C20E" w14:textId="77777777" w:rsidR="001E2202" w:rsidRDefault="001E2202" w:rsidP="001E2202">
      <w:pPr>
        <w:pStyle w:val="BodyText"/>
      </w:pPr>
    </w:p>
    <w:p w14:paraId="23129EF8" w14:textId="5A80326D" w:rsidR="009E52CB" w:rsidRPr="00E007EA" w:rsidRDefault="001E2202" w:rsidP="00EF7AE9">
      <w:pPr>
        <w:spacing w:before="1"/>
        <w:ind w:right="137"/>
        <w:rPr>
          <w:color w:val="2D74B5"/>
        </w:rPr>
      </w:pPr>
      <w:r>
        <w:rPr>
          <w:color w:val="2D74B5"/>
        </w:rPr>
        <w:lastRenderedPageBreak/>
        <w:t>“</w:t>
      </w:r>
      <w:r>
        <w:rPr>
          <w:i/>
          <w:color w:val="2D74B5"/>
        </w:rPr>
        <w:t>Another potential limitation is [briefly describe the limitation and any steps you took to address</w:t>
      </w:r>
      <w:r>
        <w:rPr>
          <w:i/>
          <w:color w:val="2D74B5"/>
          <w:spacing w:val="-47"/>
        </w:rPr>
        <w:t xml:space="preserve"> </w:t>
      </w:r>
      <w:r>
        <w:rPr>
          <w:i/>
          <w:color w:val="2D74B5"/>
        </w:rPr>
        <w:t>it in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your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study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or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how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it could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be addressed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by future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researchers]</w:t>
      </w:r>
      <w:r>
        <w:rPr>
          <w:color w:val="2D74B5"/>
        </w:rPr>
        <w:t>."</w:t>
      </w:r>
    </w:p>
    <w:p w14:paraId="297A426B" w14:textId="042B2A73" w:rsidR="001266B1" w:rsidRPr="001833A6" w:rsidRDefault="001266B1" w:rsidP="001E2202"/>
    <w:sectPr w:rsidR="001266B1" w:rsidRPr="0018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912"/>
    <w:multiLevelType w:val="hybridMultilevel"/>
    <w:tmpl w:val="6C7A1DA0"/>
    <w:lvl w:ilvl="0" w:tplc="885EF0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ACC"/>
    <w:multiLevelType w:val="hybridMultilevel"/>
    <w:tmpl w:val="CE60D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0BEE"/>
    <w:multiLevelType w:val="hybridMultilevel"/>
    <w:tmpl w:val="B81C887A"/>
    <w:lvl w:ilvl="0" w:tplc="0FD6D082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4580A8C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07769994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6172DD9A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4" w:tplc="11AAEC2A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85463F9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C9A9A5C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294459D0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126C2FB4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0255929"/>
    <w:multiLevelType w:val="hybridMultilevel"/>
    <w:tmpl w:val="862A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80B0F"/>
    <w:multiLevelType w:val="hybridMultilevel"/>
    <w:tmpl w:val="A6708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113F"/>
    <w:multiLevelType w:val="hybridMultilevel"/>
    <w:tmpl w:val="A6F44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10E22"/>
    <w:multiLevelType w:val="hybridMultilevel"/>
    <w:tmpl w:val="D458D660"/>
    <w:lvl w:ilvl="0" w:tplc="D79AC4A6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34793A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3CBA3454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F7C01EF8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4" w:tplc="72F0021A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F6E68C8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9BEC251C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E996C8DC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2D9AEAA6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B7B38EA"/>
    <w:multiLevelType w:val="hybridMultilevel"/>
    <w:tmpl w:val="385A4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749D1"/>
    <w:multiLevelType w:val="hybridMultilevel"/>
    <w:tmpl w:val="092E6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E58A7"/>
    <w:multiLevelType w:val="hybridMultilevel"/>
    <w:tmpl w:val="A6708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60737">
    <w:abstractNumId w:val="3"/>
  </w:num>
  <w:num w:numId="2" w16cid:durableId="960843813">
    <w:abstractNumId w:val="8"/>
  </w:num>
  <w:num w:numId="3" w16cid:durableId="521280941">
    <w:abstractNumId w:val="1"/>
  </w:num>
  <w:num w:numId="4" w16cid:durableId="982857851">
    <w:abstractNumId w:val="0"/>
  </w:num>
  <w:num w:numId="5" w16cid:durableId="1612738134">
    <w:abstractNumId w:val="7"/>
  </w:num>
  <w:num w:numId="6" w16cid:durableId="1838302468">
    <w:abstractNumId w:val="5"/>
  </w:num>
  <w:num w:numId="7" w16cid:durableId="2139182381">
    <w:abstractNumId w:val="9"/>
  </w:num>
  <w:num w:numId="8" w16cid:durableId="1719087541">
    <w:abstractNumId w:val="4"/>
  </w:num>
  <w:num w:numId="9" w16cid:durableId="1249581487">
    <w:abstractNumId w:val="2"/>
  </w:num>
  <w:num w:numId="10" w16cid:durableId="57410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removePersonalInformatio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A4"/>
    <w:rsid w:val="00000CE8"/>
    <w:rsid w:val="00005EEB"/>
    <w:rsid w:val="00007588"/>
    <w:rsid w:val="00007EE9"/>
    <w:rsid w:val="00010ACD"/>
    <w:rsid w:val="00010FBC"/>
    <w:rsid w:val="0002659E"/>
    <w:rsid w:val="000357D8"/>
    <w:rsid w:val="00040992"/>
    <w:rsid w:val="00045893"/>
    <w:rsid w:val="00046FD9"/>
    <w:rsid w:val="00052755"/>
    <w:rsid w:val="00053D9D"/>
    <w:rsid w:val="00066E41"/>
    <w:rsid w:val="00067F3A"/>
    <w:rsid w:val="00070DDD"/>
    <w:rsid w:val="00071687"/>
    <w:rsid w:val="000748DE"/>
    <w:rsid w:val="000750A7"/>
    <w:rsid w:val="00081566"/>
    <w:rsid w:val="00084A0A"/>
    <w:rsid w:val="000943AC"/>
    <w:rsid w:val="00096765"/>
    <w:rsid w:val="00096C04"/>
    <w:rsid w:val="00097556"/>
    <w:rsid w:val="0009798C"/>
    <w:rsid w:val="000A1790"/>
    <w:rsid w:val="000B265E"/>
    <w:rsid w:val="000C6D36"/>
    <w:rsid w:val="000C7DDD"/>
    <w:rsid w:val="000D4264"/>
    <w:rsid w:val="000D47D1"/>
    <w:rsid w:val="000D6DD9"/>
    <w:rsid w:val="000E3C0D"/>
    <w:rsid w:val="000F0AE0"/>
    <w:rsid w:val="000F0F82"/>
    <w:rsid w:val="00100517"/>
    <w:rsid w:val="0010233E"/>
    <w:rsid w:val="0010343C"/>
    <w:rsid w:val="00105B38"/>
    <w:rsid w:val="00106056"/>
    <w:rsid w:val="00112220"/>
    <w:rsid w:val="001130FF"/>
    <w:rsid w:val="0011546D"/>
    <w:rsid w:val="00117205"/>
    <w:rsid w:val="00117EB4"/>
    <w:rsid w:val="001230F4"/>
    <w:rsid w:val="0012382C"/>
    <w:rsid w:val="00124217"/>
    <w:rsid w:val="001246B7"/>
    <w:rsid w:val="001266B1"/>
    <w:rsid w:val="0012678F"/>
    <w:rsid w:val="0013096C"/>
    <w:rsid w:val="00132047"/>
    <w:rsid w:val="001344C4"/>
    <w:rsid w:val="00136618"/>
    <w:rsid w:val="001367DB"/>
    <w:rsid w:val="0014253C"/>
    <w:rsid w:val="00142B65"/>
    <w:rsid w:val="001454B1"/>
    <w:rsid w:val="0014767C"/>
    <w:rsid w:val="0015783A"/>
    <w:rsid w:val="00162E10"/>
    <w:rsid w:val="001729AA"/>
    <w:rsid w:val="0017345A"/>
    <w:rsid w:val="0017649B"/>
    <w:rsid w:val="001833A6"/>
    <w:rsid w:val="001941C1"/>
    <w:rsid w:val="00197DB6"/>
    <w:rsid w:val="001A04FD"/>
    <w:rsid w:val="001A18D0"/>
    <w:rsid w:val="001A46F5"/>
    <w:rsid w:val="001A4D45"/>
    <w:rsid w:val="001A6B55"/>
    <w:rsid w:val="001B263A"/>
    <w:rsid w:val="001B3ED1"/>
    <w:rsid w:val="001C1D3F"/>
    <w:rsid w:val="001C21E6"/>
    <w:rsid w:val="001C26EC"/>
    <w:rsid w:val="001C45E4"/>
    <w:rsid w:val="001D21CD"/>
    <w:rsid w:val="001D45B1"/>
    <w:rsid w:val="001D56E4"/>
    <w:rsid w:val="001D794B"/>
    <w:rsid w:val="001E2202"/>
    <w:rsid w:val="001F070F"/>
    <w:rsid w:val="001F45CC"/>
    <w:rsid w:val="002011B6"/>
    <w:rsid w:val="00201E94"/>
    <w:rsid w:val="00202BFE"/>
    <w:rsid w:val="00205F9A"/>
    <w:rsid w:val="0021247B"/>
    <w:rsid w:val="002141FD"/>
    <w:rsid w:val="0021650B"/>
    <w:rsid w:val="002330FE"/>
    <w:rsid w:val="0023468C"/>
    <w:rsid w:val="0023547A"/>
    <w:rsid w:val="00241F72"/>
    <w:rsid w:val="002429CE"/>
    <w:rsid w:val="00242D73"/>
    <w:rsid w:val="00246CBA"/>
    <w:rsid w:val="002572D0"/>
    <w:rsid w:val="002609F8"/>
    <w:rsid w:val="0026282E"/>
    <w:rsid w:val="00263687"/>
    <w:rsid w:val="002663C0"/>
    <w:rsid w:val="002672B7"/>
    <w:rsid w:val="00281D1C"/>
    <w:rsid w:val="002927AE"/>
    <w:rsid w:val="00295D48"/>
    <w:rsid w:val="002A0726"/>
    <w:rsid w:val="002A0BAD"/>
    <w:rsid w:val="002A2352"/>
    <w:rsid w:val="002B65C2"/>
    <w:rsid w:val="002C007E"/>
    <w:rsid w:val="002C5011"/>
    <w:rsid w:val="002C5501"/>
    <w:rsid w:val="002C57AE"/>
    <w:rsid w:val="002D1984"/>
    <w:rsid w:val="002D3BE9"/>
    <w:rsid w:val="002D64C2"/>
    <w:rsid w:val="002D6C4B"/>
    <w:rsid w:val="002E2236"/>
    <w:rsid w:val="002E42D5"/>
    <w:rsid w:val="002E7210"/>
    <w:rsid w:val="002F672A"/>
    <w:rsid w:val="00316322"/>
    <w:rsid w:val="00316831"/>
    <w:rsid w:val="003169E8"/>
    <w:rsid w:val="0033194F"/>
    <w:rsid w:val="00331CEE"/>
    <w:rsid w:val="003336A1"/>
    <w:rsid w:val="00334252"/>
    <w:rsid w:val="00337769"/>
    <w:rsid w:val="00347C5F"/>
    <w:rsid w:val="0035596F"/>
    <w:rsid w:val="00360B6C"/>
    <w:rsid w:val="00363BF9"/>
    <w:rsid w:val="003658B0"/>
    <w:rsid w:val="00383101"/>
    <w:rsid w:val="00383FA2"/>
    <w:rsid w:val="0038479B"/>
    <w:rsid w:val="00385B58"/>
    <w:rsid w:val="00390F0B"/>
    <w:rsid w:val="00397F1A"/>
    <w:rsid w:val="003A105A"/>
    <w:rsid w:val="003A6F36"/>
    <w:rsid w:val="003B5E16"/>
    <w:rsid w:val="003C3498"/>
    <w:rsid w:val="003D085E"/>
    <w:rsid w:val="003E236B"/>
    <w:rsid w:val="003E330D"/>
    <w:rsid w:val="003E5CB9"/>
    <w:rsid w:val="003F41EE"/>
    <w:rsid w:val="00421A04"/>
    <w:rsid w:val="00423B5F"/>
    <w:rsid w:val="00427EBF"/>
    <w:rsid w:val="004453FD"/>
    <w:rsid w:val="00445E81"/>
    <w:rsid w:val="00451C4F"/>
    <w:rsid w:val="0045248F"/>
    <w:rsid w:val="0045732B"/>
    <w:rsid w:val="00474AFF"/>
    <w:rsid w:val="00480868"/>
    <w:rsid w:val="00481424"/>
    <w:rsid w:val="004820CF"/>
    <w:rsid w:val="004A4E10"/>
    <w:rsid w:val="004A57F2"/>
    <w:rsid w:val="004B0D46"/>
    <w:rsid w:val="004B1CC0"/>
    <w:rsid w:val="004B1F32"/>
    <w:rsid w:val="004B557B"/>
    <w:rsid w:val="004B5F7F"/>
    <w:rsid w:val="004B7166"/>
    <w:rsid w:val="004C0B92"/>
    <w:rsid w:val="004C540B"/>
    <w:rsid w:val="004C634D"/>
    <w:rsid w:val="004C713F"/>
    <w:rsid w:val="004D20E9"/>
    <w:rsid w:val="004D32B7"/>
    <w:rsid w:val="004E38AB"/>
    <w:rsid w:val="004E72E5"/>
    <w:rsid w:val="004F5381"/>
    <w:rsid w:val="0050583C"/>
    <w:rsid w:val="00512135"/>
    <w:rsid w:val="005214EA"/>
    <w:rsid w:val="00521768"/>
    <w:rsid w:val="00532C0E"/>
    <w:rsid w:val="00535821"/>
    <w:rsid w:val="00540DD2"/>
    <w:rsid w:val="0054285A"/>
    <w:rsid w:val="00550BE2"/>
    <w:rsid w:val="00556EDA"/>
    <w:rsid w:val="00565153"/>
    <w:rsid w:val="0056716A"/>
    <w:rsid w:val="005715A5"/>
    <w:rsid w:val="00585CE0"/>
    <w:rsid w:val="005910C6"/>
    <w:rsid w:val="00591F66"/>
    <w:rsid w:val="005933F0"/>
    <w:rsid w:val="0059579F"/>
    <w:rsid w:val="00597B72"/>
    <w:rsid w:val="005D0729"/>
    <w:rsid w:val="005D0DAA"/>
    <w:rsid w:val="005E0793"/>
    <w:rsid w:val="005F6240"/>
    <w:rsid w:val="00600E7D"/>
    <w:rsid w:val="00607251"/>
    <w:rsid w:val="00612DCB"/>
    <w:rsid w:val="0061743E"/>
    <w:rsid w:val="006256C5"/>
    <w:rsid w:val="0062671A"/>
    <w:rsid w:val="00632606"/>
    <w:rsid w:val="00645A24"/>
    <w:rsid w:val="006526C3"/>
    <w:rsid w:val="006560A5"/>
    <w:rsid w:val="00656442"/>
    <w:rsid w:val="00656AB1"/>
    <w:rsid w:val="00661A49"/>
    <w:rsid w:val="00663567"/>
    <w:rsid w:val="00677D27"/>
    <w:rsid w:val="00680EB2"/>
    <w:rsid w:val="0069091E"/>
    <w:rsid w:val="00692999"/>
    <w:rsid w:val="00696DD5"/>
    <w:rsid w:val="006A59DD"/>
    <w:rsid w:val="006B01CA"/>
    <w:rsid w:val="006B07BA"/>
    <w:rsid w:val="006B0B3A"/>
    <w:rsid w:val="006B123E"/>
    <w:rsid w:val="006B1B87"/>
    <w:rsid w:val="006B404B"/>
    <w:rsid w:val="006C3F4E"/>
    <w:rsid w:val="006D2564"/>
    <w:rsid w:val="006D72BB"/>
    <w:rsid w:val="006E221A"/>
    <w:rsid w:val="006E3A7F"/>
    <w:rsid w:val="006E40B9"/>
    <w:rsid w:val="006E4BC1"/>
    <w:rsid w:val="007020A4"/>
    <w:rsid w:val="00707EFC"/>
    <w:rsid w:val="00710F77"/>
    <w:rsid w:val="0071144E"/>
    <w:rsid w:val="0071532F"/>
    <w:rsid w:val="007300B0"/>
    <w:rsid w:val="00733755"/>
    <w:rsid w:val="00735FEC"/>
    <w:rsid w:val="007367C4"/>
    <w:rsid w:val="007450FE"/>
    <w:rsid w:val="00746392"/>
    <w:rsid w:val="00752CEE"/>
    <w:rsid w:val="00753103"/>
    <w:rsid w:val="00754A58"/>
    <w:rsid w:val="00762123"/>
    <w:rsid w:val="0076729F"/>
    <w:rsid w:val="00774820"/>
    <w:rsid w:val="00780F65"/>
    <w:rsid w:val="007831E9"/>
    <w:rsid w:val="00784836"/>
    <w:rsid w:val="00785B4C"/>
    <w:rsid w:val="00793430"/>
    <w:rsid w:val="00793C71"/>
    <w:rsid w:val="007940F3"/>
    <w:rsid w:val="007A6631"/>
    <w:rsid w:val="007A6F33"/>
    <w:rsid w:val="007B5730"/>
    <w:rsid w:val="007C5F3E"/>
    <w:rsid w:val="007C635C"/>
    <w:rsid w:val="007D0706"/>
    <w:rsid w:val="007D0EEE"/>
    <w:rsid w:val="007F13B8"/>
    <w:rsid w:val="007F300D"/>
    <w:rsid w:val="007F34A4"/>
    <w:rsid w:val="007F3D17"/>
    <w:rsid w:val="007F4D9C"/>
    <w:rsid w:val="0080423F"/>
    <w:rsid w:val="0080751D"/>
    <w:rsid w:val="00811D9B"/>
    <w:rsid w:val="008140A1"/>
    <w:rsid w:val="0081425D"/>
    <w:rsid w:val="0081687D"/>
    <w:rsid w:val="00842F42"/>
    <w:rsid w:val="008504FD"/>
    <w:rsid w:val="00851C05"/>
    <w:rsid w:val="008624E8"/>
    <w:rsid w:val="00862876"/>
    <w:rsid w:val="00863BA4"/>
    <w:rsid w:val="00863E24"/>
    <w:rsid w:val="00864F2E"/>
    <w:rsid w:val="008676A1"/>
    <w:rsid w:val="0087543A"/>
    <w:rsid w:val="00884A0E"/>
    <w:rsid w:val="008904E5"/>
    <w:rsid w:val="008933CC"/>
    <w:rsid w:val="008966D1"/>
    <w:rsid w:val="008A373E"/>
    <w:rsid w:val="008B08D1"/>
    <w:rsid w:val="008B1F8F"/>
    <w:rsid w:val="008B3597"/>
    <w:rsid w:val="008B3C84"/>
    <w:rsid w:val="008B67DB"/>
    <w:rsid w:val="008B71D8"/>
    <w:rsid w:val="008C4415"/>
    <w:rsid w:val="008C7308"/>
    <w:rsid w:val="008D6BE4"/>
    <w:rsid w:val="008E2DEF"/>
    <w:rsid w:val="008E47DA"/>
    <w:rsid w:val="008E62E3"/>
    <w:rsid w:val="008F0BF6"/>
    <w:rsid w:val="00906F48"/>
    <w:rsid w:val="009161DB"/>
    <w:rsid w:val="00921190"/>
    <w:rsid w:val="0092610F"/>
    <w:rsid w:val="00926593"/>
    <w:rsid w:val="0093050D"/>
    <w:rsid w:val="0093412C"/>
    <w:rsid w:val="00934E91"/>
    <w:rsid w:val="009369D1"/>
    <w:rsid w:val="00954D06"/>
    <w:rsid w:val="00955CB9"/>
    <w:rsid w:val="00961420"/>
    <w:rsid w:val="00967272"/>
    <w:rsid w:val="0097141D"/>
    <w:rsid w:val="00977920"/>
    <w:rsid w:val="009826C5"/>
    <w:rsid w:val="009920C4"/>
    <w:rsid w:val="009964C3"/>
    <w:rsid w:val="009A27EE"/>
    <w:rsid w:val="009A5C16"/>
    <w:rsid w:val="009B19F3"/>
    <w:rsid w:val="009B6EB5"/>
    <w:rsid w:val="009B75CD"/>
    <w:rsid w:val="009D0F6F"/>
    <w:rsid w:val="009D0F91"/>
    <w:rsid w:val="009D164B"/>
    <w:rsid w:val="009D7B55"/>
    <w:rsid w:val="009E1FCD"/>
    <w:rsid w:val="009E50D8"/>
    <w:rsid w:val="009E52CB"/>
    <w:rsid w:val="009E6542"/>
    <w:rsid w:val="009F0211"/>
    <w:rsid w:val="009F1DA4"/>
    <w:rsid w:val="009F721A"/>
    <w:rsid w:val="00A06785"/>
    <w:rsid w:val="00A10287"/>
    <w:rsid w:val="00A104FD"/>
    <w:rsid w:val="00A11156"/>
    <w:rsid w:val="00A11968"/>
    <w:rsid w:val="00A135BD"/>
    <w:rsid w:val="00A14705"/>
    <w:rsid w:val="00A308B6"/>
    <w:rsid w:val="00A35CD1"/>
    <w:rsid w:val="00A40740"/>
    <w:rsid w:val="00A445DD"/>
    <w:rsid w:val="00A453CE"/>
    <w:rsid w:val="00A45410"/>
    <w:rsid w:val="00A46417"/>
    <w:rsid w:val="00A51689"/>
    <w:rsid w:val="00A52DB3"/>
    <w:rsid w:val="00A6078A"/>
    <w:rsid w:val="00A74CAC"/>
    <w:rsid w:val="00A817E4"/>
    <w:rsid w:val="00A90D18"/>
    <w:rsid w:val="00A920F9"/>
    <w:rsid w:val="00A921F4"/>
    <w:rsid w:val="00A9361B"/>
    <w:rsid w:val="00AA2F5B"/>
    <w:rsid w:val="00AA3DFE"/>
    <w:rsid w:val="00AB1FD9"/>
    <w:rsid w:val="00AB4022"/>
    <w:rsid w:val="00AB647B"/>
    <w:rsid w:val="00AC5B76"/>
    <w:rsid w:val="00AD3221"/>
    <w:rsid w:val="00AD674F"/>
    <w:rsid w:val="00AE1C46"/>
    <w:rsid w:val="00AE2E8E"/>
    <w:rsid w:val="00AE7705"/>
    <w:rsid w:val="00AF3563"/>
    <w:rsid w:val="00AF4FB2"/>
    <w:rsid w:val="00B20BF3"/>
    <w:rsid w:val="00B22C69"/>
    <w:rsid w:val="00B23C34"/>
    <w:rsid w:val="00B33375"/>
    <w:rsid w:val="00B3501A"/>
    <w:rsid w:val="00B35FA0"/>
    <w:rsid w:val="00B57782"/>
    <w:rsid w:val="00B621DF"/>
    <w:rsid w:val="00B66884"/>
    <w:rsid w:val="00B70AA3"/>
    <w:rsid w:val="00B73A8F"/>
    <w:rsid w:val="00B76EF5"/>
    <w:rsid w:val="00B76EF6"/>
    <w:rsid w:val="00B80FF8"/>
    <w:rsid w:val="00B841D1"/>
    <w:rsid w:val="00B91B00"/>
    <w:rsid w:val="00B9611C"/>
    <w:rsid w:val="00BB32B6"/>
    <w:rsid w:val="00BB67FE"/>
    <w:rsid w:val="00BB693C"/>
    <w:rsid w:val="00BC0D0C"/>
    <w:rsid w:val="00BC37EB"/>
    <w:rsid w:val="00BC6EE4"/>
    <w:rsid w:val="00BD77B0"/>
    <w:rsid w:val="00BE58B4"/>
    <w:rsid w:val="00BF1E28"/>
    <w:rsid w:val="00BF2794"/>
    <w:rsid w:val="00BF5BD2"/>
    <w:rsid w:val="00BF7B22"/>
    <w:rsid w:val="00C02A98"/>
    <w:rsid w:val="00C10D9D"/>
    <w:rsid w:val="00C15167"/>
    <w:rsid w:val="00C1616D"/>
    <w:rsid w:val="00C16BD7"/>
    <w:rsid w:val="00C24193"/>
    <w:rsid w:val="00C25401"/>
    <w:rsid w:val="00C25561"/>
    <w:rsid w:val="00C33CB5"/>
    <w:rsid w:val="00C340D1"/>
    <w:rsid w:val="00C36B09"/>
    <w:rsid w:val="00C41A72"/>
    <w:rsid w:val="00C435B8"/>
    <w:rsid w:val="00C52BBC"/>
    <w:rsid w:val="00C55FC9"/>
    <w:rsid w:val="00C5708C"/>
    <w:rsid w:val="00C573E6"/>
    <w:rsid w:val="00C57EF7"/>
    <w:rsid w:val="00C61CAA"/>
    <w:rsid w:val="00C62191"/>
    <w:rsid w:val="00C6543B"/>
    <w:rsid w:val="00C65E71"/>
    <w:rsid w:val="00C83692"/>
    <w:rsid w:val="00C900F9"/>
    <w:rsid w:val="00C9146E"/>
    <w:rsid w:val="00C9177E"/>
    <w:rsid w:val="00C93B35"/>
    <w:rsid w:val="00C93DCB"/>
    <w:rsid w:val="00C97A94"/>
    <w:rsid w:val="00CD1EA8"/>
    <w:rsid w:val="00CD5257"/>
    <w:rsid w:val="00CD6A6B"/>
    <w:rsid w:val="00CE7E15"/>
    <w:rsid w:val="00CF46FB"/>
    <w:rsid w:val="00D02D9C"/>
    <w:rsid w:val="00D05E6D"/>
    <w:rsid w:val="00D06408"/>
    <w:rsid w:val="00D13897"/>
    <w:rsid w:val="00D14E3B"/>
    <w:rsid w:val="00D1558C"/>
    <w:rsid w:val="00D1630F"/>
    <w:rsid w:val="00D1771D"/>
    <w:rsid w:val="00D25476"/>
    <w:rsid w:val="00D262A1"/>
    <w:rsid w:val="00D312A7"/>
    <w:rsid w:val="00D40A34"/>
    <w:rsid w:val="00D44CA9"/>
    <w:rsid w:val="00D45A1A"/>
    <w:rsid w:val="00D50BD6"/>
    <w:rsid w:val="00D53F94"/>
    <w:rsid w:val="00D625A1"/>
    <w:rsid w:val="00D73E40"/>
    <w:rsid w:val="00D743A3"/>
    <w:rsid w:val="00D75F8D"/>
    <w:rsid w:val="00D77EC3"/>
    <w:rsid w:val="00D817AC"/>
    <w:rsid w:val="00D84785"/>
    <w:rsid w:val="00DA3A6B"/>
    <w:rsid w:val="00DA52E5"/>
    <w:rsid w:val="00DA74CC"/>
    <w:rsid w:val="00DC1713"/>
    <w:rsid w:val="00DC186F"/>
    <w:rsid w:val="00DC7E4B"/>
    <w:rsid w:val="00DD6E70"/>
    <w:rsid w:val="00DD7201"/>
    <w:rsid w:val="00DE44C4"/>
    <w:rsid w:val="00DE5B80"/>
    <w:rsid w:val="00DE78E9"/>
    <w:rsid w:val="00DF0914"/>
    <w:rsid w:val="00DF14EE"/>
    <w:rsid w:val="00DF28FE"/>
    <w:rsid w:val="00DF5F1C"/>
    <w:rsid w:val="00DF7503"/>
    <w:rsid w:val="00E006A4"/>
    <w:rsid w:val="00E007EA"/>
    <w:rsid w:val="00E0181D"/>
    <w:rsid w:val="00E02C8E"/>
    <w:rsid w:val="00E13CCA"/>
    <w:rsid w:val="00E2063E"/>
    <w:rsid w:val="00E23297"/>
    <w:rsid w:val="00E23805"/>
    <w:rsid w:val="00E26358"/>
    <w:rsid w:val="00E27360"/>
    <w:rsid w:val="00E35487"/>
    <w:rsid w:val="00E37091"/>
    <w:rsid w:val="00E42EDF"/>
    <w:rsid w:val="00E45A99"/>
    <w:rsid w:val="00E45C53"/>
    <w:rsid w:val="00E464B0"/>
    <w:rsid w:val="00E51F7F"/>
    <w:rsid w:val="00E678D8"/>
    <w:rsid w:val="00E71FFE"/>
    <w:rsid w:val="00E722AC"/>
    <w:rsid w:val="00E82B74"/>
    <w:rsid w:val="00E83D46"/>
    <w:rsid w:val="00E83E8F"/>
    <w:rsid w:val="00E869EF"/>
    <w:rsid w:val="00E90F18"/>
    <w:rsid w:val="00E979B8"/>
    <w:rsid w:val="00EA5FBC"/>
    <w:rsid w:val="00EB74E3"/>
    <w:rsid w:val="00EC6886"/>
    <w:rsid w:val="00ED11F4"/>
    <w:rsid w:val="00ED22CA"/>
    <w:rsid w:val="00ED49E9"/>
    <w:rsid w:val="00ED51CF"/>
    <w:rsid w:val="00ED55C7"/>
    <w:rsid w:val="00ED5F16"/>
    <w:rsid w:val="00ED6B91"/>
    <w:rsid w:val="00ED7B73"/>
    <w:rsid w:val="00ED7C14"/>
    <w:rsid w:val="00ED7E57"/>
    <w:rsid w:val="00EE3336"/>
    <w:rsid w:val="00EE348B"/>
    <w:rsid w:val="00EE583B"/>
    <w:rsid w:val="00EF083D"/>
    <w:rsid w:val="00EF7AE9"/>
    <w:rsid w:val="00F01C07"/>
    <w:rsid w:val="00F038CB"/>
    <w:rsid w:val="00F10727"/>
    <w:rsid w:val="00F257D1"/>
    <w:rsid w:val="00F27E0A"/>
    <w:rsid w:val="00F32595"/>
    <w:rsid w:val="00F40B41"/>
    <w:rsid w:val="00F411AA"/>
    <w:rsid w:val="00F44051"/>
    <w:rsid w:val="00F45A05"/>
    <w:rsid w:val="00F470E2"/>
    <w:rsid w:val="00F47705"/>
    <w:rsid w:val="00F47B31"/>
    <w:rsid w:val="00F47EF7"/>
    <w:rsid w:val="00F6077A"/>
    <w:rsid w:val="00F618A4"/>
    <w:rsid w:val="00F71CF3"/>
    <w:rsid w:val="00F7268E"/>
    <w:rsid w:val="00F73857"/>
    <w:rsid w:val="00F7456A"/>
    <w:rsid w:val="00F74FBD"/>
    <w:rsid w:val="00F75A27"/>
    <w:rsid w:val="00F872A6"/>
    <w:rsid w:val="00F914AB"/>
    <w:rsid w:val="00F950AE"/>
    <w:rsid w:val="00F972A2"/>
    <w:rsid w:val="00FA072A"/>
    <w:rsid w:val="00FB4ED7"/>
    <w:rsid w:val="00FD6EC0"/>
    <w:rsid w:val="00FE2B33"/>
    <w:rsid w:val="00FE3261"/>
    <w:rsid w:val="00FE70C1"/>
    <w:rsid w:val="00FE762A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64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202"/>
    <w:pPr>
      <w:widowControl w:val="0"/>
      <w:autoSpaceDE w:val="0"/>
      <w:autoSpaceDN w:val="0"/>
      <w:spacing w:before="1" w:after="0" w:line="240" w:lineRule="auto"/>
      <w:ind w:left="1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D77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54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20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1E22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E220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2020-12-07T00:23:00Z</dcterms:created>
  <dcterms:modified xsi:type="dcterms:W3CDTF">2022-08-31T06:03:00Z</dcterms:modified>
</cp:coreProperties>
</file>