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Agreement is made between Harborline Retail Plc (the Client) and Northwind Fulfilment Services Ltd (the Supplier).</w:t>
      </w:r>
    </w:p>
    <w:p>
      <w:r>
        <w:t>Effective date: 1 February 2026</w:t>
      </w:r>
    </w:p>
    <w:p>
      <w:r>
        <w:t>Contract value: USD 120,000.00</w:t>
      </w:r>
    </w:p>
    <w:p>
      <w:r>
        <w:t>Scope: third-party fulfilment and returns handling.</w:t>
      </w:r>
    </w:p>
    <w:p>
      <w:r>
        <w:t>Payment terms: net 30 from date of a valid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