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Agreement is made between Fenwick Retail Group Ltd (the Client) and Aldermere Consulting Services Ltd (the Supplier).</w:t>
      </w:r>
    </w:p>
    <w:p>
      <w:r>
        <w:t>Effective date: 1 March 2026</w:t>
      </w:r>
    </w:p>
    <w:p>
      <w:r>
        <w:t>Contract value: EUR 60,000.00</w:t>
      </w:r>
    </w:p>
    <w:p>
      <w:r>
        <w:t>Scope: quarterly compliance advisory and reporting support.</w:t>
      </w:r>
    </w:p>
    <w:p>
      <w:r>
        <w:t>Payment terms: net 30 from date of a valid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