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ectPr w:rsidR="00D82655" w:rsidRPr="00DA7D96">
      <w:pgSz w:w="12240" w:h="15840"/>
      <w:pgMar w:top="1000" w:right="1100" w:bottom="1000" w:left="1100" w:header="708" w:footer="708" w:gutter="0"/>
      <w:cols w:space="720"/>
      <w:docGrid w:linePitch="360"/>
    </w:sectPr>
    <w:p w:rsidR="00A07292" w:rsidRPr="00DA7D96" w:rsidRDefault="005372D6" w:rsidP="00DA7D96">
      <w:pPr>
        <w:spacing w:after="60"/>
        <w:jc w:val="center"/>
        <w:rPr>
          <w:b/>
          <w:sz w:val="36"/>
          <w:szCs w:val="36"/>
          <w:u w:val="single"/>
        </w:rPr>
      </w:pPr>
      <w:r>
        <w:rPr>
          <w:b/>
        </w:rPr>
        <w:t>Code Deployment Status Update</w:t>
      </w:r>
    </w:p>
    <w:p w:rsidR="00A07292" w:rsidRPr="00DA7D96" w:rsidRDefault="005372D6" w:rsidP="00DA7D96">
      <w:pPr>
        <w:spacing w:after="60"/>
        <w:jc w:val="center"/>
        <w:rPr>
          <w:b/>
          <w:sz w:val="36"/>
          <w:szCs w:val="36"/>
          <w:u w:val="single"/>
        </w:rPr>
      </w:pPr>
      <w:r>
        <w:t>Intern: Sidharth  |  Project: Sparkline AI Assistant</w:t>
      </w:r>
    </w:p>
    <w:p w:rsidR="00A07292" w:rsidRPr="00DA7D96" w:rsidRDefault="005372D6" w:rsidP="00DA7D96">
      <w:pPr>
        <w:spacing w:after="60"/>
        <w:jc w:val="center"/>
        <w:rPr>
          <w:b/>
          <w:sz w:val="36"/>
          <w:szCs w:val="36"/>
          <w:u w:val="single"/>
        </w:rPr>
      </w:pPr>
      <w:r>
        <w:t>Last updated: 2026-08-20</w:t>
      </w:r>
    </w:p>
    <w:p w:rsidR="00A07292" w:rsidRPr="00DA7D96" w:rsidRDefault="005372D6">
      <w:pPr>
        <w:pStyle w:val="Heading1"/>
        <w:spacing w:before="340" w:after="140"/>
        <w:rPr>
          <w:b/>
          <w:sz w:val="28"/>
          <w:szCs w:val="28"/>
        </w:rPr>
      </w:pPr>
      <w:r>
        <w:t>Completed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Full backend architecture built and internally tested — 51 files across infrastructure, ingestion, retrieval, agents, tool suite, access control, gateway, evaluation, and testing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Docker Compose stack live and verified on the production GPU server (SEPL-PC): PostgreSQL, Redis, MinIO, Qdrant, Ollama, FastAPI, and Open WebUI — all 7 containers healthy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FastAPI gateway running with auth (JWT), routing, and document-processing endpoints, documented via auto-generated API docs at /docs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Document ingestion pipeline fully functional and validated end-to-end against real documents: upload → text extraction → intelligent chunking → embedding generation (BAAI/bge-large-en) → storage in MinIO (raw file) and Qdrant (vectors + access-control metadata)</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Hybrid retrieval pipeline live: dense (Qdrant) + BM25 keyword search merged via Reciprocal Rank Fusion, with cross-encoder reranking and structured citation building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PDP/PEP access control (default-deny ABAC) enforced at retrieval time via Qdrant payload filters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GPU-backed LLM serving is live: qwen2.5-coder:14b running 100% on the RTX 5060 Ti, averaging ~1.4-second end-to-end query latency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Open WebUI connected as the chat frontend via a custom Pipe Function, routing every message through access control, retrieval, and reranking before it reaches the LLM</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First real-document RAG validation completed: 2 stakeholder documents ingested (93 chunks), verified via live chat queries returning correct answers with accurate citations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Four bugs found and fixed during validation: a document-visibility access-control bug, a background-task database-session bug affecting the keyword-search index, a missing Open WebUI Pipe Function on the new server (which would have bypassed access control and retrieval entirely), and an answer-parsing bug that rendered browser answers as sources with no answer text</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Stakeholder demo script prepared and updated to cover the now-live LLM chat flow, not just infrastructure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Open WebUI browser chat validated end-to-end on the production server: “Sparkline RAG” selectable as its own model, routing every message through access control, hybrid retrieval, and reranking, and returning cited answers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Citation display refined to list one source per document rather than one per retrieved chunk, with the full per-chunk trail retained in the API response and audit log for compliance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Automatic query routing is live: the assistant decides by itself whether a question is answerable from the ingested documents or should be answered from general knowledge, with no mode switching by the user. Retrieval runs first and the cross-encoder relevance score of the best passage selects between a grounded answer with citations, a blended answer that marks which parts are not from Sparkline documents, and a general answer with no retrieval</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Routing thresholds were measured rather than guessed, using a calibration harness (eval/calibrate_router.py) run over in-corpus and out-of-corpus question sets; they must be re-measured whenever the document set changes materially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Two retrieval-quality defects fixed: rank fusion was truncating the reranker's candidate pool to the final answer size (so the cross-encoder saw 5 of ~40 candidates and could never promote a lower-ranked passage), and BM25 tokenization left punctuation attached, so keyword search silently dropped out of the hybrid merge for any question ending in a question mark</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Open WebUI's internal title- and tag-generation requests no longer reach the RAG pipeline; each was consuming a full access-control, retrieval, rerank and GPU pass, polluting conversation history, and occasionally surfacing in the chat as the answer</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Answers now state their provenance in the browser — whether they came from Sparkline documents, partly from documents, or from general knowledge — since routing is automatic and the user never chose a mode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Automated test coverage expanded: 45 unit tests (from 10) plus a 17-check live regression suite covering session-history integrity, routing fallbacks, blended-mode behaviour, degenerate input, latency and audit logging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Rollback path in place: ROUTER_MODE=legacy in .env restores the previous always-RAG behaviour without a code change, verified working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Typo tolerance is live: misspelled questions are corrected before retrieval, using only the vocabulary of the documents currently ingested, rebuilt automatically on every upload so the feature follows new content with no code change. All twelve misspelled in-corpus test questions now score identically to their correctly spelled versions, and correctly spelled general questions are unaffected. Ordinary English words are protected from correction using the reranker's existing vocabulary, so a small corpus cannot cause the system to rewrite valid questions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shared password hardcoded in the Open WebUI integration has been removed. The chat front end now authenticates with a service credential and requests a session for an already-authenticated user by email, so it never handles user passwords — which is what makes it safe for a user to change their own password. The service secret fails closed: if unset, the route is disabled rather than accepting an empty value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User account management is live: create a user, change your own password, and an administrator password reset. Previously accounts existed only as a one-shot seed script. The pilot roster is now reconciled by a re-runnable script that deactivates rather than deletes accounts owning documents or audit history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Six pilot testers provisioned end-to-end across both systems (backend account, chat-frontend account and explicit model access), with eleven stale placeholder accounts retired. The release to those testers was moved from 2026-08-14 to the week of 2026-08-17</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Document format coverage widened from four types to ten: PDF including OCR for scanned pages, DOCX, legacy DOC, XLSX, macro-enabled XLSM, legacy XLS, CSV, TSV, TXT and Markdown. Macro-enabled Excel had not been accepted at all, and both pre-2007 formats were listed as supported while failing on every real file. File type is now determined from each file's binary signature rather than its extension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Embedding runs on the GPU: a 4.93 MB, 20-sheet, macro-enabled workbook ingests in 58 seconds, against roughly an hour previously, while indexing twice as much of it. The container already shipped a CUDA build; it had never been granted device access. Embedding falls back to the processor automatically if the shared card runs out of memory, so an upload degrades rather than fails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 per-document index ceiling is in place, spread proportionally across a file's sheets or pages so no sheet silently disappears, with the uploader told exactly what was indexed. Cost is driven by the number of text sections a file produces rather than its size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enterprise integration contract with Dhruv's ERP workstream is agreed and documented (ENTERPRISE_ROUTING_CONTRACT.md), including his confirmed record formats and the thirteen subjects the ERP cannot answer, which are refused explicitly rather than falling through to the documents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Automated coverage now stands at 75 unit tests and a 22-check live regression suite, up from 45 and 17</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Documents can now be withdrawn. An administrator can remove a document and every version of it from the assistant; the vectors are deleted before the database rows, so a partial failure leaves invisible orphaned rows rather than orphaned vectors that would keep being retrieved. The uploaded file itself is retained for audit — only the ability to find and quote it is removed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administrator account can now be used in the chat interface as well as through the API, rather than being upload-only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Per-chat file attachment is live in the chat interface. It was switched off for the pilot while attachments never reached the assistant; it was turned back on once isolation and the injection defences were both demonstrated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 tester handbook and a separate administrator guide are written and committed to the repository</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serving model has moved off the code-specialised variant to qwen2.5:14b, the general instruction-tuned model of the same size. The assistant answers policy and procedure questions rather than code, and the size is identical, so the change costs no memory. Verified after the switch: 75 unit tests, 21 live checks, and document questions returning correct answers with citations.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GPT-OSS 20B has been deleted, recovering 15 GB. It was rejected on 2026-08-07 for returning empty responses and is not to be re-evaluated; several files still pointed at it and have been repointed.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GPU memory contention has been mitigated by capping the host model server to one resident model. The code-tuned model must stay installed because the shared company Dify instance — used by several colleagues including the technical head — is registered against it, so deletion was not available; the cap converts a standing 9 GB claim into memory held only while that model is serving.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Development has moved off remote desktop onto an SSH tunnel. The laptop is now an editor and all computation stays on the server, which removes a full graphical session from a 7.9 GB machine shared by three teams. Each of the five forwarded services was verified with a real query rather than by the port appearing open.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operational knowledge the code does not reveal is now written down (CLAUDE.md, REMOTE_DEV.md): that the model runs on a host service shared with another team, that the live pipeline is stored in Open WebUI's database rather than in the repository, that adding a user takes three steps across two databases, and that editing .env requires the container to be recreated rather than restarted.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administrator password is no longer in the source. It was a literal default in the ingestion CLI and therefore in the public repository, two documents and the smoke test; the account has been rotated and the tool now prompts instead of shipping a fallback. The service token was rotated at the same time across all three places that must agree — .env, the stored pipe valve and the running container — and verified end to end.</w:t>
      </w:r>
    </w:p>
    <w:p>
      <w:pPr>
        <w:pStyle w:val="ListParagraph"/>
      </w:pPr>
      <w:r>
        <w:t>Per-chat file attachment is delivered end to end: a person attaches a file to a conversation, asks questions about it, lists what they have attached and removes it, while an administrator can review and withdraw anything held. Isolation was demonstrated with the live model rather than argued — a second account supplying the correct conversation identifier retrieves nothing, and the same person asking in a different conversation retrieves nothing either</w:t>
      </w:r>
    </w:p>
    <w:p>
      <w:pPr>
        <w:pStyle w:val="ListParagraph"/>
      </w:pPr>
      <w:r>
        <w:t>Attached files are kept in a separate store from the main document set, so exposure is prevented by the structure rather than by every filter being written correctly. This mattered because every account on the system currently resolves to unrestricted access</w:t>
      </w:r>
    </w:p>
    <w:p>
      <w:pPr>
        <w:pStyle w:val="ListParagraph"/>
      </w:pPr>
      <w:r>
        <w:t>Attachments do not expire. Reclamation instead compares the conversations that still exist against the files being held and removes only the difference, and refuses to act at all if that comparison looks unreliable — the failure mode of such a sweep is deleting everything rather than deleting too little</w:t>
      </w:r>
    </w:p>
    <w:p>
      <w:pPr>
        <w:pStyle w:val="ListParagraph"/>
      </w:pPr>
      <w:r>
        <w:t>File export now reaches the person who asked for it. The generated Word or Excel file is stored, and the reply carries a download link that works from a browser. Previously the file was built, returned internally and discarded while the assistant reported success, so a tester was told their document was ready and given nothing</w:t>
      </w:r>
    </w:p>
    <w:p>
      <w:pPr>
        <w:pStyle w:val="ListParagraph"/>
      </w:pPr>
      <w:r>
        <w:t>A download link grants one file to one person rather than access to an account, and a failed export is stated in the reply instead of passing silently</w:t>
      </w:r>
    </w:p>
    <w:p>
      <w:pPr>
        <w:pStyle w:val="ListParagraph"/>
      </w:pPr>
      <w:r>
        <w:t>Prompt-injection and adversarial testing has been carried out against the live pipeline, and the faults it found have been fixed. The suite now reports 18 checks passing and none failing, from 11 passing and 4 failing before the fix</w:t>
      </w:r>
    </w:p>
    <w:p>
      <w:pPr>
        <w:pStyle w:val="ListParagraph"/>
      </w:pPr>
      <w:r>
        <w:t>The assistant no longer follows instructions hidden inside a document's contents, and no longer recites its own operating instructions on request. Retrieved passages are marked as data with visible boundaries, both sets of instructions state an explicit order of precedence, and a final check catches any disclosure</w:t>
      </w:r>
    </w:p>
    <w:p>
      <w:pPr>
        <w:pStyle w:val="ListParagraph"/>
      </w:pPr>
      <w:r>
        <w:t>Access control was verified to hold throughout that testing: another account given the correct conversation identifier could not extract an attachment, because isolation is enforced when documents are fetched rather than by the model's good behaviour</w:t>
      </w:r>
    </w:p>
    <w:p>
      <w:pPr>
        <w:pStyle w:val="ListParagraph"/>
      </w:pPr>
      <w:r>
        <w:t>Automated coverage now stands at 230 unit tests, plus two live suites run against the assembled system: the routing regression suite (21 passed, 1 failed, 5 flagged for a human read — the single failure being the routing band above, which now fails deliberately instead of passing silently) and the adversarial suite (16 passed, 0 failed, 3 flagged for a human read). The four new unit tests are structural: they assert that every method IngestionPipeline calls on itself actually exists, which is the fault class that had silently broken every upload.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network exposure recorded as pending is closed. It was demonstrated first rather than assumed: from a laptop on the ordinary office network, with no credentials, the text of an ingested document was read directly out of the vector store. Every datastore now binds to the host's loopback interface only — Postgres, Redis, Qdrant and MinIO are refused from the LAN, while the API (18000) and Open WebUI (13000) still answer, since those are the product. Loopback rather than removing the ports, so the SSH tunnel used for administration and integration tests still works. Re-tested from the laptop after the change.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Qdrant now requires an API key and returns 401 without one. Qdrant ships with no authentication at all unless this is set, which is opt-in rather than a misconfiguration.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PostgreSQL, Redis and MinIO credentials have been rotated and MinIO's default administrator name replaced. They were not merely weak: they were byte-identical to the placeholders published in the repository's own .env.example, so repo access implied database access. Rotating PostgreSQL required ALTER ROLE on the live database as well as the environment variable, which is only read when the database is first created.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Three guards now prevent the same class of problem returning silently: the application refuses to start on any credential that appears in .env.example, warns at every startup if QDRANT_API_KEY is empty, and the Compose definitions no longer provide fallback passwords, so an unset value halts the stack with a message instead of becoming a shared secret.</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audit log no longer keeps a copy of the answers. It was storing the first 500 characters of every response — verbatim document text for a document question — in a table with no access control over it, and nothing ever read it back. The column was dropped and the 721 stored answer copies in it removed. Query text, user, agent type and retrieved document versions are retained, because attribution is the log's purpose.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Withdrawing a document now deletes the stored original from MinIO as well as the vectors and database rows. Previously the file was retained indefinitely by design, so a document uploaded in error stayed on the server after an administrator had been told it was deleted. Verified end to end: one version, one chunk and one file removed, with zero Qdrant points and zero MinIO objects left behind.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 document's audience can now be changed after upload, via PATCH /admin/documents/{id} and an ingest_cli set-access command. Both PostgreSQL and the Qdrant payload are written, because retrieval filters on the payload — updating only the database would report a restriction the system does not enforce. This matters for the pilot specifically: documents have to be loaded before HR supplies the department list, so they must be labelled afterwards rather than at upload.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Accuracy measurement is live and has produced the project's first figures, none of which requires a human-written answer: routing accuracy 100% (27/27), abstention rate 0% (0/12 in-corpus questions left unanswered), and self-consistency 0.997 across five repeats. Recall@k is implemented but reports itself unmeasured until an eval set supplies source filenames, rather than inferring them from what retrieval returned. None of these establish correctness, which still needs a subject expert.</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RAGAS harness is now verified local. As written it called evaluate() with no judge configured, so it would have defaulted to OpenAI and sent every question, generated answer and retrieved document passage off-site — while its own docstring claimed evaluation was local. Nothing leaked, because the packages were never installed and it had never run. The judge and embeddings are now passed explicitly against the local Ollama and BGE model, and it refuses to start unless LLM_BASE_URL resolves to a local host.</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Two pre-existing faults were found and fixed, either of which would have stopped the first step of ingesting the testers' documents. Document ingestion raised AttributeError on every upload, because _find_existing_document had drifted out of IngestionPipeline during an earlier refactor and become an unreachable nested function. Separately the administrator ingest CLI could not parse a single argument, because Typer 0.12 against the resolved click 8.2 raises before argument parsing; all three CLIs moved to argparse, which needs nothing installed and cannot drift.</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Established by testing, rather than by reading the code, what currently happens to an image inside a source document — a realistic case for this corpus, where the answer to a question may sit in a diagram or a photograph rather than in prose. Images are discarded at parse time in every supported format and leave no trace: the Word reader walks paragraphs, tables and text boxes but never the drawing elements that hold pictures, the Excel reader records a chart's title but not the chart itself, and the PDF reader takes text only, so a scanned page is turned into text by OCR and the pixels are then dropped. Nothing raises an error and the stored chunk carries no reference to what was lost, so the failure is silent rather than visible. The chunk record has no field capable of holding an image at all, which makes this a gap in the data model rather than a connection left unwired.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Recorded the two ways of closing that gap, each with the reason it is not being started yet, in a single future-scope document, so the decision is written down rather than re-derived later. Returning the picture that sat beside the retrieved text needs new work at parse time and a new field on the chunk record, but no new infrastructure: the object storage and single-file download link built for file export on Aug 19 are the same pattern and can be copied. Having the assistant read an image and answer from its contents is a separate capability, requiring a vision-capable model on a card already shared three ways plus its own retrieval design, and is deliberately not committed to.</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Scoped the dedicated administrator interface against the endpoints that already exist, and confirmed it needs almost no new backend work. Upload, listing, withdrawal and permission editing are all live and already used by the command-line tool; the only gap is an authenticated route to download an original uploaded file, and even there the retrieval code is present and simply called by nothing. The interface stays a client of the API and never reaches storage directly, which is what keeps the exposure closed on Aug 19 from being reopened. Deliberately limited to document management for this pass, leaving user administration and the audit log on their current access paths.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Found while doing that scoping that the project's own operating notes still list file-export delivery as an open defect, although it was closed on Aug 19. Corrected in the future-scope record, since the stale entry had already led to one wrong conclusion about what the image work would depend on.</w:t>
      </w:r>
    </w:p>
    <w:p w:rsidR="00A07292" w:rsidRPr="00DA7D96" w:rsidRDefault="005372D6">
      <w:pPr>
        <w:pStyle w:val="Heading1"/>
        <w:spacing w:before="340" w:after="140"/>
        <w:rPr>
          <w:b/>
          <w:sz w:val="28"/>
          <w:szCs w:val="28"/>
        </w:rPr>
      </w:pPr>
      <w:r>
        <w:t>Pending</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Ingestion and retrieval testing against real Sparkline documents at scale, as more content is provided by stakeholders (only 2 documents validated so far)</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Activating real per-user ABAC restrictions, pending department/designation data from HR for the 10 pilot users (all pilot users currently have blanket public-document access)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Live RAGAS evaluation against real documents and real queries, to establish baseline faithfulness and answer relevance. The harness is now safe to run and its two reference-free metrics need no ground truth, so this is blocked only on documents. Context precision additionally needs confirmed answers from someone who knows the content — roughly 30 questions, which is the one part that cannot be automated.</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Per-user permissions on the ERP side before any of that data is exposed: the integration reaches its database over a single shared connection, so wiring it in as-is would answer every question with the same rights regardless of who asked, leaving the document-level access control intact but meaningless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Validation of the legacy .doc path against a genuine pre-2007 Word file — the reader is installed and wired and failure is graceful, but no such file was available on the server to confirm the success path</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Settling the routing band. ROUTER_RAG_SCORE_HIGH and _LOW are both -6.0, which makes the blended band unreachable, so no answer distinguishes document content from general knowledge. The intent needs confirming before it is changed: this was recorded as a deliberate decision on 2026-08-12 (document answers only, never mixed) and as an open defect on 2026-08-18. It is at least no longer silent — the application warns at every startup and the regression suite fails on it outright. Once the intent is settled it should either be stated explicitly in configuration or corrected at the next calibration against the real corpus.</w:t>
      </w:r>
    </w:p>
    <w:p>
      <w:pPr>
        <w:pStyle w:val="ListParagraph"/>
      </w:pPr>
      <w:r>
        <w:t>Chart generation remains unverified. The export half of the tool suite is now working end to end, but the chart path and its sandboxed execution have not been exercised, and the same delivery step would need to be extended to cover images</w:t>
      </w:r>
    </w:p>
    <w:p>
      <w:pPr>
        <w:pStyle w:val="ListParagraph"/>
      </w:pPr>
      <w:r>
        <w:t>A dedicated administrator interface for uploading and withdrawing documents and editing permissions. The design is settled as of Aug 20: a static single-page application authenticating against the existing login endpoint and talking only to the API, never to storage directly — deliberately, because a page reaching storage would recreate the exposure just closed. Scope for this pass is document management only. Every endpoint it needs already exists except an authenticated route to download an original file, whose retrieval code is present but unrouted. Upload remains a single long synchronous call with no progress reporting, accepted for pilot scale rather than solved now. The build itself is held pending coordination with Dhruv, since work done solo across the boundary between the two halves would need redoing once it is agreed.</w:t>
      </w:r>
    </w:p>
    <w:p>
      <w:pPr>
        <w:pStyle w:val="ListParagraph"/>
      </w:pPr>
      <w:r>
        <w:t>A manual switch in the chat interface so a tester can choose between this assistant and Dhruv's ERP/HRMS integration, for the pilot period only. It is a small interface change but cannot be built before there is a second system to switch to: the enterprise agent remains an abstract contract with no implementation behind it. The intended end state is not a switch at all but routing that infers which system a question belongs to, which is why this is scoped explicitly as a temporary measure rather than a feature.</w:t>
      </w:r>
    </w:p>
    <w:p>
      <w:pPr>
        <w:pStyle w:val="ListParagraph"/>
      </w:pPr>
      <w:r>
        <w:t>Returning images from source documents, in either of the two forms now recorded in the future-scope document. Nothing stands in the way of the first form beyond time and priority; the second needs a model decision and GPU headroom that does not exist on the current card.</w:t>
      </w:r>
    </w:p>
    <w:p>
      <w:pPr>
        <w:pStyle w:val="ListParagraph"/>
      </w:pPr>
      <w:r>
        <w:t>A tester instruction manual written for people using a system of this kind for the first time, covering how to open the interface, ask a question and attach a file, and — as importantly — what the pilot cannot yet do, so that a capability which does not exist yet is not reported as something broken.</w:t>
      </w:r>
    </w:p>
    <w:p w:rsidR="00A07292" w:rsidRPr="00DA7D96" w:rsidRDefault="005372D6">
      <w:pPr>
        <w:pStyle w:val="Heading1"/>
        <w:spacing w:before="340" w:after="140"/>
        <w:rPr>
          <w:b/>
          <w:sz w:val="28"/>
          <w:szCs w:val="28"/>
        </w:rPr>
      </w:pPr>
      <w:r>
        <w:t>Blockers</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GPU server blocker is resolved and the shared-GPU memory contention is mitigated. Worth recording as a capacity limit rather than a blocker: during the accuracy run the card was holding 15.4 of 16.3 GB across three unrelated workloads, the embedding model hit CUDA OOM and correctly fell back to CPU, and qwen2.5:14b was running 19%/81% GPU/CPU. Nothing failed, but response times on a card shared three ways are not the times the pilot should be judged on.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Real document content and HR department/designation data are still pending from stakeholders — not an engineering blocker, but required before real-data validation at scale and true per-user access-control enforcement can begin</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ERP integration cannot be exposed to users until per-user permissions exist on that side. This does not block the document assistant or the pilot, but it does block the enterprise data workstream, and it is the item to resolve with Dhruv before any ERP answer reaches a user</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Dhruv's development machine does not have the memory or GPU capacity to run his side of the system at a workable speed, which holds up the enterprise half of the project independently of any design decision taken on this side. Recorded as reported rather than measured — no figures have been taken — but it is the practical reason the ERP integration cannot simply be brought forward, and it needs either hardware or an arrangement to share the server before that workstream can move at the same pace as this one.</w:t>
      </w:r>
    </w:p>
    <w:p w:rsidR="00DA7D96" w:rsidRPr="00DA7D96" w:rsidRDefault="00DA7D96" w:rsidP="00DA7D96">
      <w:pPr>
        <w:pStyle w:val="ListParagraph"/>
        <w:numPr>
          <w:ilvl w:val="0"/>
          <w:numId w:val="2"/>
        </w:numPr>
        <w:spacing w:after="160" w:line="256" w:lineRule="auto"/>
        <w:contextualSpacing/>
        <w:rPr>
          <w:sz w:val="24"/>
          <w:szCs w:val="24"/>
          <w:u w:val="single"/>
          <w:lang w:val="en-US"/>
        </w:rPr>
      </w:pPr>
      <w:r>
        <w:t>The two halves of the project are developed on separate machines against separate repositories, so anything spanning both — the administrator interface and the pilot's system switch among them — carries a coordination and merge cost on top of the work itself. This is the stated reason the administrator interface is fully planned but deliberately not started.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A6129"/>
    <w:multiLevelType w:val="hybridMultilevel"/>
    <w:tmpl w:val="6BA04750"/>
    <w:lvl w:ilvl="0" w:tplc="45FE96CA">
      <w:start w:val="1"/>
      <w:numFmt w:val="bullet"/>
      <w:lvlText w:val="●"/>
      <w:lvlJc w:val="left"/>
      <w:pPr>
        <w:ind w:left="720" w:hanging="360"/>
      </w:pPr>
    </w:lvl>
    <w:lvl w:ilvl="1" w:tplc="33D02D74">
      <w:start w:val="1"/>
      <w:numFmt w:val="bullet"/>
      <w:lvlText w:val="○"/>
      <w:lvlJc w:val="left"/>
      <w:pPr>
        <w:ind w:left="1440" w:hanging="360"/>
      </w:pPr>
    </w:lvl>
    <w:lvl w:ilvl="2" w:tplc="37007684">
      <w:start w:val="1"/>
      <w:numFmt w:val="bullet"/>
      <w:lvlText w:val="■"/>
      <w:lvlJc w:val="left"/>
      <w:pPr>
        <w:ind w:left="2160" w:hanging="360"/>
      </w:pPr>
    </w:lvl>
    <w:lvl w:ilvl="3" w:tplc="03808F52">
      <w:start w:val="1"/>
      <w:numFmt w:val="bullet"/>
      <w:lvlText w:val="●"/>
      <w:lvlJc w:val="left"/>
      <w:pPr>
        <w:ind w:left="2880" w:hanging="360"/>
      </w:pPr>
    </w:lvl>
    <w:lvl w:ilvl="4" w:tplc="D24EBAD8">
      <w:start w:val="1"/>
      <w:numFmt w:val="bullet"/>
      <w:lvlText w:val="○"/>
      <w:lvlJc w:val="left"/>
      <w:pPr>
        <w:ind w:left="3600" w:hanging="360"/>
      </w:pPr>
    </w:lvl>
    <w:lvl w:ilvl="5" w:tplc="90B26222">
      <w:start w:val="1"/>
      <w:numFmt w:val="bullet"/>
      <w:lvlText w:val="■"/>
      <w:lvlJc w:val="left"/>
      <w:pPr>
        <w:ind w:left="4320" w:hanging="360"/>
      </w:pPr>
    </w:lvl>
    <w:lvl w:ilvl="6" w:tplc="2BBAC8FC">
      <w:start w:val="1"/>
      <w:numFmt w:val="bullet"/>
      <w:lvlText w:val="●"/>
      <w:lvlJc w:val="left"/>
      <w:pPr>
        <w:ind w:left="5040" w:hanging="360"/>
      </w:pPr>
    </w:lvl>
    <w:lvl w:ilvl="7" w:tplc="1D2C99EC">
      <w:start w:val="1"/>
      <w:numFmt w:val="bullet"/>
      <w:lvlText w:val="●"/>
      <w:lvlJc w:val="left"/>
      <w:pPr>
        <w:ind w:left="5760" w:hanging="360"/>
      </w:pPr>
    </w:lvl>
    <w:lvl w:ilvl="8" w:tplc="80DAB70E">
      <w:start w:val="1"/>
      <w:numFmt w:val="bullet"/>
      <w:lvlText w:val="●"/>
      <w:lvlJc w:val="left"/>
      <w:pPr>
        <w:ind w:left="6480" w:hanging="360"/>
      </w:pPr>
    </w:lvl>
  </w:abstractNum>
  <w:abstractNum w:abstractNumId="1" w15:restartNumberingAfterBreak="0">
    <w:nsid w:val="3D8858B8"/>
    <w:multiLevelType w:val="hybridMultilevel"/>
    <w:tmpl w:val="632025A4"/>
    <w:lvl w:ilvl="0" w:tplc="56186E06">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CE12498"/>
    <w:multiLevelType w:val="hybridMultilevel"/>
    <w:tmpl w:val="15384236"/>
    <w:lvl w:ilvl="0" w:tplc="9A6A5A70">
      <w:start w:val="1"/>
      <w:numFmt w:val="bullet"/>
      <w:lvlText w:val="●"/>
      <w:lvlJc w:val="left"/>
      <w:pPr>
        <w:ind w:left="720" w:hanging="360"/>
      </w:pPr>
    </w:lvl>
    <w:lvl w:ilvl="1" w:tplc="ECBEF4BE">
      <w:start w:val="1"/>
      <w:numFmt w:val="bullet"/>
      <w:lvlText w:val="○"/>
      <w:lvlJc w:val="left"/>
      <w:pPr>
        <w:ind w:left="1440" w:hanging="360"/>
      </w:pPr>
    </w:lvl>
    <w:lvl w:ilvl="2" w:tplc="CE2CEC02">
      <w:start w:val="1"/>
      <w:numFmt w:val="bullet"/>
      <w:lvlText w:val="■"/>
      <w:lvlJc w:val="left"/>
      <w:pPr>
        <w:ind w:left="2160" w:hanging="360"/>
      </w:pPr>
    </w:lvl>
    <w:lvl w:ilvl="3" w:tplc="B7302700">
      <w:start w:val="1"/>
      <w:numFmt w:val="bullet"/>
      <w:lvlText w:val="●"/>
      <w:lvlJc w:val="left"/>
      <w:pPr>
        <w:ind w:left="2880" w:hanging="360"/>
      </w:pPr>
    </w:lvl>
    <w:lvl w:ilvl="4" w:tplc="8892BEA8">
      <w:start w:val="1"/>
      <w:numFmt w:val="bullet"/>
      <w:lvlText w:val="○"/>
      <w:lvlJc w:val="left"/>
      <w:pPr>
        <w:ind w:left="3600" w:hanging="360"/>
      </w:pPr>
    </w:lvl>
    <w:lvl w:ilvl="5" w:tplc="BC080DB2">
      <w:start w:val="1"/>
      <w:numFmt w:val="bullet"/>
      <w:lvlText w:val="■"/>
      <w:lvlJc w:val="left"/>
      <w:pPr>
        <w:ind w:left="4320" w:hanging="360"/>
      </w:pPr>
    </w:lvl>
    <w:lvl w:ilvl="6" w:tplc="BEC87424">
      <w:start w:val="1"/>
      <w:numFmt w:val="bullet"/>
      <w:lvlText w:val="●"/>
      <w:lvlJc w:val="left"/>
      <w:pPr>
        <w:ind w:left="5040" w:hanging="360"/>
      </w:pPr>
    </w:lvl>
    <w:lvl w:ilvl="7" w:tplc="2AA8C746">
      <w:start w:val="1"/>
      <w:numFmt w:val="bullet"/>
      <w:lvlText w:val="●"/>
      <w:lvlJc w:val="left"/>
      <w:pPr>
        <w:ind w:left="5760" w:hanging="360"/>
      </w:pPr>
    </w:lvl>
    <w:lvl w:ilvl="8" w:tplc="5AC24294">
      <w:start w:val="1"/>
      <w:numFmt w:val="bullet"/>
      <w:lvlText w:val="●"/>
      <w:lvlJc w:val="left"/>
      <w:pPr>
        <w:ind w:left="6480" w:hanging="360"/>
      </w:pPr>
    </w:lvl>
  </w:abstractNum>
  <w:abstractNum w:abstractNumId="3" w15:restartNumberingAfterBreak="0">
    <w:nsid w:val="7D1D15E9"/>
    <w:multiLevelType w:val="hybridMultilevel"/>
    <w:tmpl w:val="5F5CE0B2"/>
    <w:lvl w:ilvl="0" w:tplc="40090001">
      <w:start w:val="1"/>
      <w:numFmt w:val="bullet"/>
      <w:lvlText w:val=""/>
      <w:lvlJc w:val="left"/>
      <w:pPr>
        <w:ind w:left="560" w:hanging="360"/>
      </w:pPr>
      <w:rPr>
        <w:rFonts w:ascii="Symbol" w:hAnsi="Symbol"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num w:numId="1">
    <w:abstractNumId w:val="2"/>
    <w:lvlOverride w:ilvl="0">
      <w:startOverride w:val="1"/>
    </w:lvlOverride>
  </w:num>
  <w:num w:numId="2">
    <w:abstractNumId w:val="1"/>
  </w:num>
  <w:num w:numId="3">
    <w:abstractNumId w:val="1"/>
  </w:num>
  <w:num w:numId="4">
    <w:abstractNumId w:val="3"/>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292"/>
    <w:rsid w:val="001C1FF4"/>
    <w:rsid w:val="0045772D"/>
    <w:rsid w:val="005372D6"/>
    <w:rsid w:val="0077208C"/>
    <w:rsid w:val="00A07292"/>
    <w:rsid w:val="00D82655"/>
    <w:rsid w:val="00DA7D96"/>
    <w:rsid w:val="00E02E97"/>
    <w:rsid w:val="00E12B17"/>
    <w:rsid w:val="00F10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A31A"/>
  <w15:docId w15:val="{992E44D5-3598-4072-B30D-417B7365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E02E97"/>
    <w:rPr>
      <w:color w:val="2E74B5"/>
      <w:sz w:val="26"/>
      <w:szCs w:val="26"/>
    </w:rPr>
  </w:style>
  <w:style w:type="character" w:customStyle="1" w:styleId="Heading1Char">
    <w:name w:val="Heading 1 Char"/>
    <w:basedOn w:val="DefaultParagraphFont"/>
    <w:link w:val="Heading1"/>
    <w:rsid w:val="00D8265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3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Sidharth Vijayan</cp:lastModifiedBy>
  <cp:revision>8</cp:revision>
  <dcterms:created xsi:type="dcterms:W3CDTF">2026-07-24T11:35:00Z</dcterms:created>
  <dcterms:modified xsi:type="dcterms:W3CDTF">2026-08-04T10:56:00Z</dcterms:modified>
</cp:coreProperties>
</file>