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2A53" w:rsidRPr="00E07B96" w:rsidRDefault="00E07B96" w:rsidP="00CA6CE3">
      <w:pPr>
        <w:spacing w:after="60"/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Sparkline — 3-Month Project Roadmap</w:t>
      </w:r>
    </w:p>
    <w:p w:rsidR="00CB2A53" w:rsidRDefault="00E07B96" w:rsidP="00CA6CE3">
      <w:pPr>
        <w:spacing w:after="100"/>
        <w:jc w:val="center"/>
        <w:rPr>
          <w:color w:val="555555"/>
          <w:sz w:val="22"/>
          <w:szCs w:val="22"/>
        </w:rPr>
      </w:pPr>
      <w:r>
        <w:rPr>
          <w:color w:val="555555"/>
          <w:sz w:val="22"/>
          <w:szCs w:val="22"/>
        </w:rPr>
        <w:t>Intern: Sidharth  |  Project: Sparkline AI Assistant</w:t>
      </w:r>
    </w:p>
    <w:p w:rsidR="00E07B96" w:rsidRDefault="00E07B96">
      <w:pPr>
        <w:spacing w:after="100"/>
      </w:pPr>
    </w:p>
    <w:p w:rsidR="00CB2A53" w:rsidRDefault="00E07B96">
      <w:pPr>
        <w:pStyle w:val="Heading1"/>
        <w:spacing w:before="320" w:after="120"/>
      </w:pPr>
      <w:r>
        <w:t>Month 1: Full System Build &amp; Live LLM Integration (Jul 8 – Aug 7, 2026)</w:t>
      </w: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 xml:space="preserve">Full System Plan and Build  (Weeks 1–3: Jul 8 – Jul 24, 2026) </w:t>
      </w:r>
    </w:p>
    <w:p w:rsidR="00E07B96" w:rsidRDefault="00E07B96">
      <w:pPr>
        <w:spacing w:before="160" w:after="80"/>
      </w:pP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Finalized system architecture: single-entry FastAPI gateway routing to General LLM / Document RAG / Enterprise agents via a two-step classifier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Stood up full Docker Compose stack — PostgreSQL, Redis, MinIO, Qdrant — with all-singleton service wrappers (connection pooling, auto-created buckets/collections)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Designed and implemented database schema: users, documents, document versions (non-destructive versioning), chunk-to-vector linkage, audit logs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Built document parsing pipeline for PDF, Word, and Excel (pdfplumber, PyMuPDF, python-docx, openpyxl) with Tesseract OCR as an automatic fallback for scanned pages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Built the FastAPI gateway's full route/middleware layer: OpenAI-compatible chat endpoint, ingestion endpoint, admin routes, JWT auth middleware, async audit logging</w:t>
      </w:r>
    </w:p>
    <w:p w:rsidR="00E07B96" w:rsidRDefault="00E07B96">
      <w:pPr>
        <w:spacing w:before="160" w:after="80"/>
        <w:rPr>
          <w:b/>
          <w:bCs/>
          <w:i/>
          <w:iCs/>
        </w:rPr>
      </w:pP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</w:rPr>
        <w:t>Live LLM Integration &amp; Real-Data Validation (Jul 27 – Aug 7, 2026) — Completed</w:t>
      </w:r>
    </w:p>
    <w:p w:rsidR="00E07B96" w:rsidRDefault="00E07B96">
      <w:pPr>
        <w:spacing w:before="160" w:after="80"/>
      </w:pP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token-aware chunking (tiktoken) and a BM25 keyword index alongside the embedding pipeline (BAAI/bge-large-en) populating Qdrant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Implement hybrid retrieval: dense (Qdrant) + sparse (BM25) merged via Reciprocal Rank Fusion, with cross-encoder reranking and a structured citation builder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OpenAI-compatible LLM client and two-step query router, plus all three agents (General, Document RAG, and an Enterprise agent interface stub for the parallel MCP-adapter workstream)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tool-calling suite: sandboxed chart generation (matplotlib/pandas), Word/Excel export (python-docx/openpyxl), and a restricted-namespace Python sandbox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Design and implement PDP/PEP access control (ABAC): default-deny baseline, pilot-user pass-through, Qdrant filter enforcement at retrieval time — not deferred</w:t>
      </w:r>
    </w:p>
    <w:p w:rsidR="00CB2A53" w:rsidRDefault="00E07B96" w:rsidP="00E07B96">
      <w:pPr>
        <w:pStyle w:val="ListParagraph"/>
        <w:numPr>
          <w:ilvl w:val="0"/>
          <w:numId w:val="1"/>
        </w:numPr>
        <w:spacing w:after="60"/>
      </w:pPr>
      <w:r>
        <w:t>Evaluated GPT-OSS 20B and qwen2.5-coder:14b on the now-available RTX 5060 Ti under real (shared) memory constraints; selected qwen2.5-coder:14b for production serving after GPT-OSS 20B proved incompatible with the serving stack despite fitting in GPU memory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Ingest real Sparkline documents as they're provided by stakeholders across departments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Receive department/designation data from HR and populate it against the 10 pilot users; transition pilot users off the blanket-access shortcut onto real ABAC restrictions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Run the RAGAS harness against real documents and real queries; establish baseline faithfulness, answer relevance, and context precision scores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Validated the full chat flow end-to-end with the production LLM and real documents — both at the API level and through the Open WebUI browser interface — including access control, retrieval, and citation accuracy</w:t>
      </w:r>
    </w:p>
    <w:p w:rsidR="00E07B96" w:rsidRDefault="00E07B96" w:rsidP="00E07B96">
      <w:pPr>
        <w:pStyle w:val="ListParagraph"/>
        <w:spacing w:after="60"/>
        <w:ind w:left="720"/>
      </w:pPr>
    </w:p>
    <w:p w:rsidR="00E07B96" w:rsidRDefault="00E07B96">
      <w:pPr>
        <w:pStyle w:val="Heading1"/>
        <w:spacing w:before="320" w:after="120"/>
      </w:pPr>
    </w:p>
    <w:p w:rsidR="00E07B96" w:rsidRDefault="00E07B96">
      <w:pPr>
        <w:pStyle w:val="Heading1"/>
        <w:spacing w:before="320" w:after="120"/>
      </w:pPr>
    </w:p>
    <w:p w:rsidR="00E07B96" w:rsidRDefault="00E07B96">
      <w:pPr>
        <w:pStyle w:val="Heading1"/>
        <w:spacing w:before="320" w:after="120"/>
      </w:pPr>
      <w:r>
        <w:lastRenderedPageBreak/>
        <w:t>Month 2: Security, Coordination, Hardening &amp; Performance Tuning (Aug 8 – Sep 6, 2026)</w:t>
      </w:r>
    </w:p>
    <w:p w:rsidR="003A2078" w:rsidRDefault="003A2078">
      <w:pPr>
        <w:pStyle w:val="Heading1"/>
        <w:spacing w:before="320" w:after="120"/>
      </w:pP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Open WebUI Pipeline integration — Completed. Implemented via a custom Pipe Function rather than a Filter/inlet, so “Sparkline RAG” appears as its own selectable model and every message is routed through PEP, hybrid retrieval, and reranking before it ever reaches an LLM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Pulled a lightweight llama3.2:1b model into Ollama as a CPU-friendly stand-in so the full pipeline could be tested locally ahead of the GPU server’s arrival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an admin CLI for bulk document ingestion</w:t>
      </w:r>
    </w:p>
    <w:p w:rsidR="00E07B96" w:rsidRDefault="00E07B96" w:rsidP="00E07B96">
      <w:pPr>
        <w:pStyle w:val="ListParagraph"/>
        <w:numPr>
          <w:ilvl w:val="0"/>
          <w:numId w:val="1"/>
        </w:numPr>
        <w:spacing w:after="60"/>
      </w:pPr>
      <w:r>
        <w:t>Build the RAGAS evaluation harness and a 10-query golden set, plus a full offline unit-test suite (10 tests) and a 7-check integration smoke test</w:t>
      </w:r>
    </w:p>
    <w:p w:rsidR="00E07B96" w:rsidRDefault="00E07B96" w:rsidP="00E07B96">
      <w:pPr>
        <w:pStyle w:val="ListParagraph"/>
        <w:spacing w:after="60"/>
        <w:ind w:left="720"/>
      </w:pPr>
    </w:p>
    <w:p w:rsidR="00E07B96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>Security, Coordination &amp; Hardening (Aug 8 – Aug 21, 2026</w:t>
      </w:r>
      <w:bookmarkStart w:id="0" w:name="_GoBack"/>
      <w:bookmarkEnd w:id="0"/>
    </w:p>
    <w:p w:rsidR="00CB2A53" w:rsidRDefault="00E07B96">
      <w:pPr>
        <w:spacing w:before="160" w:after="80"/>
      </w:pPr>
      <w:r>
        <w:rPr>
          <w:b/>
          <w:bCs/>
          <w:i/>
          <w:iCs/>
          <w:color w:val="444444"/>
        </w:rPr>
        <w:t>)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Conduct prompt-injection and adversarial security testing against the RAG/agent and tool-calling pipeline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Coordinate the integration contract with Dhruv's enterprise-adapter workstream now that the shared gateway and Postgres layer are live — confirm shared audit schema and user/role source of truth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Expand test coverage beyond the smoke test into fuller integration tests; triage and fix edge cases surfaced by early live pilot usage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Begin internal documentation: architecture overview, setup guide, known limitations</w:t>
      </w:r>
    </w:p>
    <w:p w:rsidR="00E07B96" w:rsidRDefault="00E07B96">
      <w:pPr>
        <w:spacing w:before="100" w:after="200"/>
      </w:pPr>
    </w:p>
    <w:p w:rsidR="00CB2A53" w:rsidRDefault="00E07B96">
      <w:pPr>
        <w:spacing w:before="160" w:after="80"/>
      </w:pPr>
      <w:r>
        <w:rPr>
          <w:b/>
          <w:bCs/>
          <w:i/>
          <w:iCs/>
          <w:color w:val="444444"/>
        </w:rPr>
        <w:t>Performance Tuning &amp; Production Path Validation (Aug 22 – Sep 6, 2026)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Load and performance testing under concurrent multi-user access; profile retrieval latency, LLM throughput, and DB query performance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Validate the production serving path: confirm the config-only Ollama → vLLM swap works cleanly under real load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Expand the pilot group as HR data coverage grows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Wrap and stabilize the FastAPI backend layer: error handling, input validation, logging consistency</w:t>
      </w:r>
    </w:p>
    <w:p w:rsidR="00E07B96" w:rsidRDefault="00E07B96" w:rsidP="00E07B96">
      <w:pPr>
        <w:pStyle w:val="ListParagraph"/>
        <w:spacing w:after="60"/>
        <w:ind w:left="720"/>
      </w:pPr>
    </w:p>
    <w:p w:rsidR="00E07B96" w:rsidRDefault="00E07B96">
      <w:pPr>
        <w:pStyle w:val="Heading1"/>
        <w:spacing w:before="320" w:after="120"/>
      </w:pPr>
      <w:r>
        <w:t>Month 3: Broader Rollout, Reliability, Documentation &amp; Handover (Sep 7 – Oct 6, 2026)</w:t>
      </w: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>Broader Rollout &amp; Reliability (Sep 7 – Sep 20, 2026)</w:t>
      </w:r>
    </w:p>
    <w:p w:rsidR="00E07B96" w:rsidRDefault="00E07B96">
      <w:pPr>
        <w:spacing w:before="160" w:after="80"/>
      </w:pP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Extend rollout to additional departments as access data and stakeholder content continue to arrive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Add basic monitoring/observability for query latency, retrieval quality, and failure rates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Refine access control and retrieval behavior based on real-world pilot feedback at broader scale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Continue addressing bugs and edge cases surfaced from expanded usage</w:t>
      </w:r>
    </w:p>
    <w:p w:rsidR="00E07B96" w:rsidRDefault="00E07B96">
      <w:pPr>
        <w:spacing w:before="160" w:after="80"/>
        <w:rPr>
          <w:b/>
          <w:bCs/>
          <w:i/>
          <w:iCs/>
        </w:rPr>
      </w:pPr>
    </w:p>
    <w:p w:rsidR="00CB2A53" w:rsidRDefault="00E07B96">
      <w:pPr>
        <w:spacing w:before="160" w:after="80"/>
        <w:rPr>
          <w:b/>
          <w:bCs/>
          <w:i/>
          <w:iCs/>
          <w:color w:val="444444"/>
        </w:rPr>
      </w:pPr>
      <w:r>
        <w:rPr>
          <w:b/>
          <w:bCs/>
          <w:i/>
          <w:iCs/>
          <w:color w:val="444444"/>
        </w:rPr>
        <w:t>Documentation, Handover &amp; Scalability Writeup (Sep 21 – Oct 6, 2026)</w:t>
      </w:r>
    </w:p>
    <w:p w:rsidR="00E07B96" w:rsidRDefault="00E07B96">
      <w:pPr>
        <w:spacing w:before="160" w:after="80"/>
      </w:pP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Finalize architecture documentation and a GitHub-ready project writeup/demo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t>Document and validate the scalability path — confirm each component (LLM serving, vector DB, storage) can move to larger/shared hardware without application-level changes</w:t>
      </w:r>
    </w:p>
    <w:p w:rsidR="00CB2A53" w:rsidRDefault="00E07B96">
      <w:pPr>
        <w:pStyle w:val="ListParagraph"/>
        <w:numPr>
          <w:ilvl w:val="0"/>
          <w:numId w:val="1"/>
        </w:numPr>
        <w:spacing w:after="60"/>
      </w:pPr>
      <w:r>
        <w:lastRenderedPageBreak/>
        <w:t>Final presentation/demo preparation for stakeholders</w:t>
      </w:r>
    </w:p>
    <w:p w:rsidR="00CB2A53" w:rsidRDefault="00E07B96" w:rsidP="00E07B96">
      <w:pPr>
        <w:pStyle w:val="ListParagraph"/>
        <w:numPr>
          <w:ilvl w:val="0"/>
          <w:numId w:val="1"/>
        </w:numPr>
        <w:spacing w:after="60"/>
      </w:pPr>
      <w:r>
        <w:t>Personal: consolidate learnings into a single document — system design decisions, tradeoffs made, and reasoning behind each</w:t>
      </w:r>
    </w:p>
    <w:sectPr w:rsidR="00CB2A53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876B58"/>
    <w:multiLevelType w:val="hybridMultilevel"/>
    <w:tmpl w:val="E076A702"/>
    <w:lvl w:ilvl="0" w:tplc="839467B6">
      <w:start w:val="1"/>
      <w:numFmt w:val="bullet"/>
      <w:lvlText w:val="●"/>
      <w:lvlJc w:val="left"/>
      <w:pPr>
        <w:ind w:left="720" w:hanging="360"/>
      </w:pPr>
    </w:lvl>
    <w:lvl w:ilvl="1" w:tplc="51D4B694">
      <w:start w:val="1"/>
      <w:numFmt w:val="bullet"/>
      <w:lvlText w:val="○"/>
      <w:lvlJc w:val="left"/>
      <w:pPr>
        <w:ind w:left="1440" w:hanging="360"/>
      </w:pPr>
    </w:lvl>
    <w:lvl w:ilvl="2" w:tplc="EE78FDE6">
      <w:start w:val="1"/>
      <w:numFmt w:val="bullet"/>
      <w:lvlText w:val="■"/>
      <w:lvlJc w:val="left"/>
      <w:pPr>
        <w:ind w:left="2160" w:hanging="360"/>
      </w:pPr>
    </w:lvl>
    <w:lvl w:ilvl="3" w:tplc="258E1FDC">
      <w:start w:val="1"/>
      <w:numFmt w:val="bullet"/>
      <w:lvlText w:val="●"/>
      <w:lvlJc w:val="left"/>
      <w:pPr>
        <w:ind w:left="2880" w:hanging="360"/>
      </w:pPr>
    </w:lvl>
    <w:lvl w:ilvl="4" w:tplc="8A14AE68">
      <w:start w:val="1"/>
      <w:numFmt w:val="bullet"/>
      <w:lvlText w:val="○"/>
      <w:lvlJc w:val="left"/>
      <w:pPr>
        <w:ind w:left="3600" w:hanging="360"/>
      </w:pPr>
    </w:lvl>
    <w:lvl w:ilvl="5" w:tplc="75F0F644">
      <w:start w:val="1"/>
      <w:numFmt w:val="bullet"/>
      <w:lvlText w:val="■"/>
      <w:lvlJc w:val="left"/>
      <w:pPr>
        <w:ind w:left="4320" w:hanging="360"/>
      </w:pPr>
    </w:lvl>
    <w:lvl w:ilvl="6" w:tplc="217E5C72">
      <w:start w:val="1"/>
      <w:numFmt w:val="bullet"/>
      <w:lvlText w:val="●"/>
      <w:lvlJc w:val="left"/>
      <w:pPr>
        <w:ind w:left="5040" w:hanging="360"/>
      </w:pPr>
    </w:lvl>
    <w:lvl w:ilvl="7" w:tplc="D7BAA734">
      <w:start w:val="1"/>
      <w:numFmt w:val="bullet"/>
      <w:lvlText w:val="●"/>
      <w:lvlJc w:val="left"/>
      <w:pPr>
        <w:ind w:left="5760" w:hanging="360"/>
      </w:pPr>
    </w:lvl>
    <w:lvl w:ilvl="8" w:tplc="E8CC92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A53"/>
    <w:rsid w:val="003A2078"/>
    <w:rsid w:val="00CA6CE3"/>
    <w:rsid w:val="00CB2A53"/>
    <w:rsid w:val="00E07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175F"/>
  <w15:docId w15:val="{4D484A54-3D45-42C5-A5E2-A0F611FBB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Sidharth Vijayan</cp:lastModifiedBy>
  <cp:revision>4</cp:revision>
  <dcterms:created xsi:type="dcterms:W3CDTF">2026-07-28T08:29:00Z</dcterms:created>
  <dcterms:modified xsi:type="dcterms:W3CDTF">2026-08-04T11:00:00Z</dcterms:modified>
</cp:coreProperties>
</file>