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A53" w:rsidRPr="00E07B96" w:rsidRDefault="00E07B96" w:rsidP="00CA6CE3">
      <w:pPr>
        <w:spacing w:after="60"/>
        <w:jc w:val="center"/>
        <w:rPr>
          <w:sz w:val="36"/>
          <w:szCs w:val="36"/>
        </w:rPr>
      </w:pPr>
      <w:r>
        <w:rPr>
          <w:b/>
          <w:bCs/>
          <w:sz w:val="36"/>
          <w:szCs w:val="36"/>
        </w:rPr>
        <w:t>Sparkline — 3-Month Project Roadmap</w:t>
      </w:r>
    </w:p>
    <w:p w:rsidR="00CB2A53" w:rsidRDefault="00E07B96" w:rsidP="00CA6CE3">
      <w:pPr>
        <w:spacing w:after="100"/>
        <w:jc w:val="center"/>
        <w:rPr>
          <w:color w:val="555555"/>
          <w:sz w:val="22"/>
          <w:szCs w:val="22"/>
        </w:rPr>
      </w:pPr>
      <w:r>
        <w:rPr>
          <w:color w:val="555555"/>
          <w:sz w:val="22"/>
          <w:szCs w:val="22"/>
        </w:rPr>
        <w:t>Intern: Sidharth  |  Project: Sparkline AI Assistant</w:t>
      </w:r>
    </w:p>
    <w:p w:rsidR="00E07B96" w:rsidRDefault="00E07B96">
      <w:pPr>
        <w:spacing w:after="100"/>
      </w:pPr>
    </w:p>
    <w:p w:rsidR="00CB2A53" w:rsidRDefault="00E07B96">
      <w:pPr>
        <w:pStyle w:val="Heading1"/>
        <w:spacing w:before="320" w:after="120"/>
      </w:pPr>
      <w:r>
        <w:t>Month 1: Full System Build &amp; Live LLM Integration (Jul 8 – Aug 7, 2026)</w:t>
      </w:r>
    </w:p>
    <w:p w:rsidR="00CB2A53" w:rsidRDefault="00E07B96">
      <w:pPr>
        <w:spacing w:before="160" w:after="80"/>
        <w:rPr>
          <w:b/>
          <w:bCs/>
          <w:i/>
          <w:iCs/>
          <w:color w:val="444444"/>
        </w:rPr>
      </w:pPr>
      <w:r>
        <w:rPr>
          <w:b/>
          <w:bCs/>
          <w:i/>
          <w:iCs/>
          <w:color w:val="444444"/>
        </w:rPr>
        <w:t xml:space="preserve">Full System Plan and Build  (Weeks 1–3: Jul 8 – Jul 24, 2026) </w:t>
      </w:r>
    </w:p>
    <w:p w:rsidR="00E07B96" w:rsidRDefault="00E07B96">
      <w:pPr>
        <w:spacing w:before="160" w:after="80"/>
      </w:pPr>
    </w:p>
    <w:p w:rsidR="00CB2A53" w:rsidRDefault="00E07B96">
      <w:pPr>
        <w:pStyle w:val="ListParagraph"/>
        <w:numPr>
          <w:ilvl w:val="0"/>
          <w:numId w:val="1"/>
        </w:numPr>
        <w:spacing w:after="60"/>
      </w:pPr>
      <w:r>
        <w:t>Finalized system architecture: single-entry FastAPI gateway routing to General LLM / Document RAG / Enterprise agents via a two-step classifier</w:t>
      </w:r>
    </w:p>
    <w:p w:rsidR="00CB2A53" w:rsidRDefault="00E07B96">
      <w:pPr>
        <w:pStyle w:val="ListParagraph"/>
        <w:numPr>
          <w:ilvl w:val="0"/>
          <w:numId w:val="1"/>
        </w:numPr>
        <w:spacing w:after="60"/>
      </w:pPr>
      <w:r>
        <w:t>Stood up full Docker Compose stack — PostgreSQL, Redis, MinIO, Qdrant — with all-singleton service wrappers (connection pooling, auto-created buckets/collections)</w:t>
      </w:r>
    </w:p>
    <w:p w:rsidR="00CB2A53" w:rsidRDefault="00E07B96">
      <w:pPr>
        <w:pStyle w:val="ListParagraph"/>
        <w:numPr>
          <w:ilvl w:val="0"/>
          <w:numId w:val="1"/>
        </w:numPr>
        <w:spacing w:after="60"/>
      </w:pPr>
      <w:r>
        <w:t>Designed and implemented database schema: users, documents, document versions (non-destructive versioning), chunk-to-vector linkage, audit logs</w:t>
      </w:r>
    </w:p>
    <w:p w:rsidR="00CB2A53" w:rsidRDefault="00E07B96">
      <w:pPr>
        <w:pStyle w:val="ListParagraph"/>
        <w:numPr>
          <w:ilvl w:val="0"/>
          <w:numId w:val="1"/>
        </w:numPr>
        <w:spacing w:after="60"/>
      </w:pPr>
      <w:r>
        <w:t>Built document parsing pipeline for PDF, Word, and Excel (pdfplumber, PyMuPDF, python-docx, openpyxl) with Tesseract OCR as an automatic fallback for scanned pages</w:t>
      </w:r>
    </w:p>
    <w:p w:rsidR="00CB2A53" w:rsidRDefault="00E07B96">
      <w:pPr>
        <w:pStyle w:val="ListParagraph"/>
        <w:numPr>
          <w:ilvl w:val="0"/>
          <w:numId w:val="1"/>
        </w:numPr>
        <w:spacing w:after="60"/>
      </w:pPr>
      <w:r>
        <w:t>Built the FastAPI gateway's full route/middleware layer: OpenAI-compatible chat endpoint, ingestion endpoint, admin routes, JWT auth middleware, async audit logging</w:t>
      </w:r>
    </w:p>
    <w:p w:rsidR="00E07B96" w:rsidRDefault="00E07B96">
      <w:pPr>
        <w:spacing w:before="160" w:after="80"/>
        <w:rPr>
          <w:b/>
          <w:bCs/>
          <w:i/>
          <w:iCs/>
        </w:rPr>
      </w:pPr>
    </w:p>
    <w:p w:rsidR="00CB2A53" w:rsidRDefault="00E07B96">
      <w:pPr>
        <w:spacing w:before="160" w:after="80"/>
        <w:rPr>
          <w:b/>
          <w:bCs/>
          <w:i/>
          <w:iCs/>
          <w:color w:val="444444"/>
        </w:rPr>
      </w:pPr>
      <w:r>
        <w:rPr>
          <w:b/>
        </w:rPr>
        <w:t>Live LLM Integration &amp; Real-Data Validation (Jul 27 – Aug 7, 2026) — Completed</w:t>
      </w:r>
    </w:p>
    <w:p w:rsidR="00E07B96" w:rsidRDefault="00E07B96">
      <w:pPr>
        <w:spacing w:before="160" w:after="80"/>
      </w:pPr>
    </w:p>
    <w:p w:rsidR="00E07B96" w:rsidRDefault="00E07B96" w:rsidP="00E07B96">
      <w:pPr>
        <w:pStyle w:val="ListParagraph"/>
        <w:numPr>
          <w:ilvl w:val="0"/>
          <w:numId w:val="1"/>
        </w:numPr>
        <w:spacing w:after="60"/>
      </w:pPr>
      <w:r>
        <w:t>Build token-aware chunking (tiktoken) and a BM25 keyword index alongside the embedding pipeline (BAAI/bge-large-en) populating Qdrant</w:t>
      </w:r>
    </w:p>
    <w:p w:rsidR="00E07B96" w:rsidRDefault="00E07B96" w:rsidP="00E07B96">
      <w:pPr>
        <w:pStyle w:val="ListParagraph"/>
        <w:numPr>
          <w:ilvl w:val="0"/>
          <w:numId w:val="1"/>
        </w:numPr>
        <w:spacing w:after="60"/>
      </w:pPr>
      <w:r>
        <w:t>Implement hybrid retrieval: dense (Qdrant) + sparse (BM25) merged via Reciprocal Rank Fusion, with cross-encoder reranking and a structured citation builder</w:t>
      </w:r>
    </w:p>
    <w:p w:rsidR="00E07B96" w:rsidRDefault="00E07B96" w:rsidP="00E07B96">
      <w:pPr>
        <w:pStyle w:val="ListParagraph"/>
        <w:numPr>
          <w:ilvl w:val="0"/>
          <w:numId w:val="1"/>
        </w:numPr>
        <w:spacing w:after="60"/>
      </w:pPr>
      <w:r>
        <w:t>Build the OpenAI-compatible LLM client and two-step query router, plus all three agents (General, Document RAG, and an Enterprise agent interface stub for the parallel MCP-adapter workstream)</w:t>
      </w:r>
    </w:p>
    <w:p w:rsidR="00E07B96" w:rsidRDefault="00E07B96" w:rsidP="00E07B96">
      <w:pPr>
        <w:pStyle w:val="ListParagraph"/>
        <w:numPr>
          <w:ilvl w:val="0"/>
          <w:numId w:val="1"/>
        </w:numPr>
        <w:spacing w:after="60"/>
      </w:pPr>
      <w:r>
        <w:t>Build the tool-calling suite: sandboxed chart generation (matplotlib/pandas), Word/Excel export (python-docx/openpyxl), and a restricted-namespace Python sandbox</w:t>
      </w:r>
    </w:p>
    <w:p w:rsidR="00E07B96" w:rsidRDefault="00E07B96" w:rsidP="00E07B96">
      <w:pPr>
        <w:pStyle w:val="ListParagraph"/>
        <w:numPr>
          <w:ilvl w:val="0"/>
          <w:numId w:val="1"/>
        </w:numPr>
        <w:spacing w:after="60"/>
      </w:pPr>
      <w:r>
        <w:t>Design and implement PDP/PEP access control (ABAC): default-deny baseline, pilot-user pass-through, Qdrant filter enforcement at retrieval time — not deferred</w:t>
      </w:r>
    </w:p>
    <w:p w:rsidR="00CB2A53" w:rsidRDefault="00E07B96" w:rsidP="00E07B96">
      <w:pPr>
        <w:pStyle w:val="ListParagraph"/>
        <w:numPr>
          <w:ilvl w:val="0"/>
          <w:numId w:val="1"/>
        </w:numPr>
        <w:spacing w:after="60"/>
      </w:pPr>
      <w:r>
        <w:t>Evaluated GPT-OSS 20B and qwen2.5-coder:14b on the now-available RTX 5060 Ti under real (shared) memory constraints; selected qwen2.5-coder:14b for production serving after GPT-OSS 20B proved incompatible with the serving stack despite fitting in GPU memory</w:t>
      </w:r>
    </w:p>
    <w:p w:rsidR="00CB2A53" w:rsidRDefault="00E07B96">
      <w:pPr>
        <w:pStyle w:val="ListParagraph"/>
        <w:numPr>
          <w:ilvl w:val="0"/>
          <w:numId w:val="1"/>
        </w:numPr>
        <w:spacing w:after="60"/>
      </w:pPr>
      <w:r>
        <w:t>Ingest real Sparkline documents as they're provided by stakeholders across departments</w:t>
      </w:r>
    </w:p>
    <w:p w:rsidR="00CB2A53" w:rsidRDefault="00E07B96">
      <w:pPr>
        <w:pStyle w:val="ListParagraph"/>
        <w:numPr>
          <w:ilvl w:val="0"/>
          <w:numId w:val="1"/>
        </w:numPr>
        <w:spacing w:after="60"/>
      </w:pPr>
      <w:r>
        <w:t>Receive department/designation data from HR and populate it against the 10 pilot users; transition pilot users off the blanket-access shortcut onto real ABAC restrictions</w:t>
      </w:r>
    </w:p>
    <w:p w:rsidR="00CB2A53" w:rsidRDefault="00E07B96">
      <w:pPr>
        <w:pStyle w:val="ListParagraph"/>
        <w:numPr>
          <w:ilvl w:val="0"/>
          <w:numId w:val="1"/>
        </w:numPr>
        <w:spacing w:after="60"/>
      </w:pPr>
      <w:r>
        <w:t>Run the RAGAS harness against real documents and real queries; establish baseline faithfulness, answer relevance, and context precision scores</w:t>
      </w:r>
    </w:p>
    <w:p w:rsidR="00CB2A53" w:rsidRDefault="00E07B96">
      <w:pPr>
        <w:pStyle w:val="ListParagraph"/>
        <w:numPr>
          <w:ilvl w:val="0"/>
          <w:numId w:val="1"/>
        </w:numPr>
        <w:spacing w:after="60"/>
      </w:pPr>
      <w:r>
        <w:t>Validated the full chat flow end-to-end with the production LLM and real documents — both at the API level and through the Open WebUI browser interface — including access control, retrieval, and citation accuracy</w:t>
      </w:r>
    </w:p>
    <w:p w:rsidR="00E07B96" w:rsidRDefault="00E07B96" w:rsidP="00E07B96">
      <w:pPr>
        <w:pStyle w:val="ListParagraph"/>
        <w:spacing w:after="60"/>
        <w:ind w:left="720"/>
      </w:pPr>
    </w:p>
    <w:p w:rsidR="00E07B96" w:rsidRDefault="00E07B96">
      <w:pPr>
        <w:pStyle w:val="Heading1"/>
        <w:spacing w:before="320" w:after="120"/>
      </w:pPr>
    </w:p>
    <w:p w:rsidR="00E07B96" w:rsidRDefault="00E07B96">
      <w:pPr>
        <w:pStyle w:val="Heading1"/>
        <w:spacing w:before="320" w:after="120"/>
      </w:pPr>
    </w:p>
    <w:p w:rsidR="00E07B96" w:rsidRDefault="00E07B96">
      <w:pPr>
        <w:pStyle w:val="Heading1"/>
        <w:spacing w:before="320" w:after="120"/>
      </w:pPr>
      <w:r>
        <w:lastRenderedPageBreak/>
        <w:t>Month 2: Security, Coordination, Hardening &amp; Performance Tuning (Aug 8 – Sep 6, 2026)</w:t>
      </w:r>
    </w:p>
    <w:p w:rsidR="003A2078" w:rsidRDefault="003A2078">
      <w:pPr>
        <w:pStyle w:val="Heading1"/>
        <w:spacing w:before="320" w:after="120"/>
      </w:pPr>
    </w:p>
    <w:p w:rsidR="00E07B96" w:rsidRDefault="00E07B96" w:rsidP="00E07B96">
      <w:pPr>
        <w:pStyle w:val="ListParagraph"/>
        <w:numPr>
          <w:ilvl w:val="0"/>
          <w:numId w:val="1"/>
        </w:numPr>
        <w:spacing w:after="60"/>
      </w:pPr>
      <w:r>
        <w:t>Build the Open WebUI Pipeline integration — Completed. Implemented via a custom Pipe Function rather than a Filter/inlet, so “Sparkline RAG” appears as its own selectable model and every message is routed through PEP, hybrid retrieval, and reranking before it ever reaches an LLM</w:t>
      </w:r>
    </w:p>
    <w:p w:rsidR="00E07B96" w:rsidRDefault="00E07B96" w:rsidP="00E07B96">
      <w:pPr>
        <w:pStyle w:val="ListParagraph"/>
        <w:numPr>
          <w:ilvl w:val="0"/>
          <w:numId w:val="1"/>
        </w:numPr>
        <w:spacing w:after="60"/>
      </w:pPr>
      <w:r>
        <w:t>Pulled a lightweight llama3.2:1b model into Ollama as a CPU-friendly stand-in so the full pipeline could be tested locally ahead of the GPU server’s arrival</w:t>
      </w:r>
    </w:p>
    <w:p w:rsidR="00E07B96" w:rsidRDefault="00E07B96" w:rsidP="00E07B96">
      <w:pPr>
        <w:pStyle w:val="ListParagraph"/>
        <w:numPr>
          <w:ilvl w:val="0"/>
          <w:numId w:val="1"/>
        </w:numPr>
        <w:spacing w:after="60"/>
      </w:pPr>
      <w:r>
        <w:t>Build an admin CLI for bulk document ingestion</w:t>
      </w:r>
    </w:p>
    <w:p w:rsidR="00E07B96" w:rsidRDefault="00E07B96" w:rsidP="00E07B96">
      <w:pPr>
        <w:pStyle w:val="ListParagraph"/>
        <w:numPr>
          <w:ilvl w:val="0"/>
          <w:numId w:val="1"/>
        </w:numPr>
        <w:spacing w:after="60"/>
      </w:pPr>
      <w:r>
        <w:t>Build the RAGAS evaluation harness and a 10-query golden set, plus a full offline unit-test suite (10 tests) and a 7-check integration smoke test</w:t>
      </w:r>
    </w:p>
    <w:p w:rsidR="00E07B96" w:rsidRDefault="00E07B96" w:rsidP="00E07B96">
      <w:pPr>
        <w:pStyle w:val="ListParagraph"/>
        <w:spacing w:after="60"/>
        <w:ind w:left="720"/>
      </w:pPr>
    </w:p>
    <w:p w:rsidR="00E07B96" w:rsidRDefault="00E07B96">
      <w:pPr>
        <w:spacing w:before="160" w:after="80"/>
        <w:rPr>
          <w:b/>
          <w:bCs/>
          <w:i/>
          <w:iCs/>
          <w:color w:val="444444"/>
        </w:rPr>
      </w:pPr>
      <w:r>
        <w:rPr>
          <w:b/>
          <w:bCs/>
          <w:i/>
          <w:iCs/>
          <w:color w:val="444444"/>
        </w:rPr>
        <w:t>Security, Coordination &amp; Hardening (Aug 8 – Aug 21, 2026</w:t>
      </w:r>
      <w:bookmarkStart w:id="0" w:name="_GoBack"/>
      <w:bookmarkEnd w:id="0"/>
    </w:p>
    <w:p w:rsidR="00CB2A53" w:rsidRDefault="00E07B96">
      <w:pPr>
        <w:spacing w:before="160" w:after="80"/>
      </w:pPr>
      <w:r>
        <w:rPr>
          <w:b/>
          <w:bCs/>
          <w:i/>
          <w:iCs/>
          <w:color w:val="444444"/>
        </w:rPr>
        <w:t>)</w:t>
      </w:r>
    </w:p>
    <w:p w:rsidR="00CB2A53" w:rsidRDefault="00E07B96">
      <w:pPr>
        <w:pStyle w:val="ListParagraph"/>
        <w:numPr>
          <w:ilvl w:val="0"/>
          <w:numId w:val="1"/>
        </w:numPr>
        <w:spacing w:after="60"/>
      </w:pPr>
      <w:r>
        <w:t>Conduct prompt-injection and adversarial security testing against the RAG/agent and tool-calling pipeline</w:t>
      </w:r>
    </w:p>
    <w:p w:rsidR="00CB2A53" w:rsidRDefault="00E07B96">
      <w:pPr>
        <w:pStyle w:val="ListParagraph"/>
        <w:numPr>
          <w:ilvl w:val="0"/>
          <w:numId w:val="1"/>
        </w:numPr>
        <w:spacing w:after="60"/>
      </w:pPr>
      <w:r>
        <w:t>Coordinate the integration contract with Dhruv's enterprise-adapter workstream now that the shared gateway and Postgres layer are live — confirm shared audit schema and user/role source of truth</w:t>
      </w:r>
    </w:p>
    <w:p w:rsidR="00CB2A53" w:rsidRDefault="00E07B96">
      <w:pPr>
        <w:pStyle w:val="ListParagraph"/>
        <w:numPr>
          <w:ilvl w:val="0"/>
          <w:numId w:val="1"/>
        </w:numPr>
        <w:spacing w:after="60"/>
      </w:pPr>
      <w:r>
        <w:t>Expand test coverage beyond the smoke test into fuller integration tests; triage and fix edge cases surfaced by early live pilot usage</w:t>
      </w:r>
    </w:p>
    <w:p w:rsidR="00CB2A53" w:rsidRDefault="00E07B96">
      <w:pPr>
        <w:pStyle w:val="ListParagraph"/>
        <w:numPr>
          <w:ilvl w:val="0"/>
          <w:numId w:val="1"/>
        </w:numPr>
        <w:spacing w:after="60"/>
      </w:pPr>
      <w:r>
        <w:t>Begin internal documentation: architecture overview, setup guide, known limitations</w:t>
      </w:r>
    </w:p>
    <w:p w:rsidR="00E07B96" w:rsidRDefault="00E07B96">
      <w:pPr>
        <w:spacing w:before="100" w:after="200"/>
      </w:pPr>
    </w:p>
    <w:p w:rsidR="00CB2A53" w:rsidRDefault="00E07B96">
      <w:pPr>
        <w:pStyle w:val="ListParagraph"/>
        <w:numPr>
          <w:ilvl w:val="0"/>
          <w:numId w:val="1"/>
        </w:numPr>
        <w:spacing w:after="60"/>
      </w:pPr>
      <w:r>
        <w:t>Delivered automatic query routing between the Document RAG and General LLM agents — Completed. Retrieval now runs before the routing decision and the cross-encoder relevance score selects between a grounded answer with citations, a blended answer that marks what came from general knowledge, and a general answer with no retrieval. Previously the general agent was unreachable and every question — including “hi” — was answered by the RAG agent, which meant a refusal whenever the corpus did not cover it (Aug 11–14)</w:t>
      </w:r>
    </w:p>
    <w:p w:rsidR="00CB2A53" w:rsidRDefault="00E07B96">
      <w:pPr>
        <w:pStyle w:val="ListParagraph"/>
        <w:numPr>
          <w:ilvl w:val="0"/>
          <w:numId w:val="1"/>
        </w:numPr>
        <w:spacing w:after="60"/>
      </w:pPr>
      <w:r>
        <w:t>Fixed two retrieval defects found while calibrating the routing thresholds — Completed. Rank fusion was truncating the reranker's candidate pool to the final answer size, and BM25 tokenization left punctuation attached so keyword search dropped out of the hybrid merge for most questions. Both were degrading retrieval quality independently of the routing work</w:t>
      </w:r>
    </w:p>
    <w:p w:rsidR="00CB2A53" w:rsidRDefault="00E07B96">
      <w:pPr>
        <w:pStyle w:val="ListParagraph"/>
        <w:numPr>
          <w:ilvl w:val="0"/>
          <w:numId w:val="1"/>
        </w:numPr>
        <w:spacing w:after="60"/>
      </w:pPr>
      <w:r>
        <w:t>Expanded automated test coverage as part of the routing work — unit tests from 10 to 45, plus a 17-check live regression suite covering session-history integrity, routing fallbacks, degenerate input, latency and audit logging. Contributes directly to the “expand test coverage beyond the smoke test” item above</w:t>
      </w:r>
    </w:p>
    <w:p w:rsidR="00CB2A53" w:rsidRDefault="00E07B96" w:rsidP="00E07B96">
      <w:pPr>
        <w:pStyle w:val="ListParagraph"/>
        <w:numPr>
          <w:ilvl w:val="0"/>
          <w:numId w:val="1"/>
        </w:numPr>
        <w:spacing w:after="60"/>
      </w:pPr>
      <w:r>
        <w:t>Delivered typo tolerance for the pilot — Completed. Misspelled questions about ingested documents were being answered from general knowledge, which reads to a user as the assistant not knowing its own documents. Correction now runs before retrieval and is drawn only from the vocabulary of the currently ingested corpus, rebuilt on every upload, so it follows new stakeholder content with no code change. All twelve misspelled test questions recovered to the scores of their correctly spelled versions (Aug 13)</w:t>
      </w:r>
    </w:p>
    <w:p w:rsidR="00CB2A53" w:rsidRDefault="00E07B96" w:rsidP="00E07B96">
      <w:pPr>
        <w:pStyle w:val="ListParagraph"/>
        <w:numPr>
          <w:ilvl w:val="0"/>
          <w:numId w:val="1"/>
        </w:numPr>
        <w:spacing w:after="60"/>
      </w:pPr>
      <w:r>
        <w:t>Removed a shared hardcoded credential and added real account management — Completed. The chat integration had been logging in as each user with one password written into the source, so a user changing their own password silently broke their own chat. It now authenticates with a service credential and never handles user passwords; user creation, self-service password change and administrator reset were added, and the six pilot testers were provisioned. Contributes to the Security &amp; Hardening objective above (Aug 13)</w:t>
      </w:r>
    </w:p>
    <w:p w:rsidR="00CB2A53" w:rsidRDefault="00E07B96" w:rsidP="00E07B96">
      <w:pPr>
        <w:pStyle w:val="ListParagraph"/>
        <w:numPr>
          <w:ilvl w:val="0"/>
          <w:numId w:val="1"/>
        </w:numPr>
        <w:spacing w:after="60"/>
      </w:pPr>
      <w:r>
        <w:t>Widened document format coverage from four types to ten — Completed. Added macro-enabled Excel, the pre-2007 Word and Excel formats, CSV, TSV, Markdown and plain text, dispatching on each file's binary signature rather than its extension. Two of the original four had been advertised as supported while failing on every real file (Aug 14)</w:t>
      </w:r>
    </w:p>
    <w:p w:rsidR="00CB2A53" w:rsidRDefault="00E07B96" w:rsidP="00E07B96">
      <w:pPr>
        <w:pStyle w:val="ListParagraph"/>
        <w:numPr>
          <w:ilvl w:val="0"/>
          <w:numId w:val="1"/>
        </w:numPr>
        <w:spacing w:after="60"/>
      </w:pPr>
      <w:r>
        <w:t>Moved embedding onto the GPU — Completed, and directly advancing the Performance Tuning phase below. Ingestion of a five-megabyte, twenty-sheet macro-enabled workbook fell from roughly an hour to 58 seconds (14x embedding throughput) after finding the container already shipped a GPU build but had never been granted device access. The reranking model was deliberately left on the processor: it runs on every query and the card is shared with the language model, where a real out-of-memory error occurred during testing (Aug 14)</w:t>
      </w:r>
    </w:p>
    <w:p w:rsidR="00CB2A53" w:rsidRDefault="00E07B96" w:rsidP="00E07B96">
      <w:pPr>
        <w:pStyle w:val="ListParagraph"/>
        <w:numPr>
          <w:ilvl w:val="0"/>
          <w:numId w:val="1"/>
        </w:numPr>
        <w:spacing w:after="60"/>
      </w:pPr>
      <w:r>
        <w:t>Coordinated the integration contract with Dhruv's enterprise-adapter workstream — Completed, closing the coordination item above. Overlapping coverage between ERP and the documents is resolved by routing on what a question asks for rather than its subject, with adapters self-assessing coverage since the orchestrator cannot see inside a system it does not own. No ERP routing was built: there is no data yet, and that integration reaches its database over a single shared connection, so exposing it now would leave the document-level access control intact but meaningless (Aug 14)</w:t>
      </w:r>
    </w:p>
    <w:p w:rsidR="00CB2A53" w:rsidRDefault="00E07B96">
      <w:pPr>
        <w:spacing w:before="160" w:after="80"/>
      </w:pPr>
      <w:r>
        <w:rPr>
          <w:b/>
          <w:bCs/>
          <w:i/>
          <w:iCs/>
          <w:color w:val="444444"/>
        </w:rPr>
        <w:t>Performance Tuning &amp; Production Path Validation (Aug 22 – Sep 6, 2026)</w:t>
      </w:r>
    </w:p>
    <w:p w:rsidR="00CB2A53" w:rsidRDefault="00E07B96">
      <w:pPr>
        <w:pStyle w:val="ListParagraph"/>
        <w:numPr>
          <w:ilvl w:val="0"/>
          <w:numId w:val="1"/>
        </w:numPr>
        <w:spacing w:after="60"/>
      </w:pPr>
      <w:r>
        <w:t>Load and performance testing under concurrent multi-user access; profile retrieval latency, LLM throughput, and DB query performance</w:t>
      </w:r>
    </w:p>
    <w:p w:rsidR="00CB2A53" w:rsidRDefault="00E07B96">
      <w:pPr>
        <w:pStyle w:val="ListParagraph"/>
        <w:numPr>
          <w:ilvl w:val="0"/>
          <w:numId w:val="1"/>
        </w:numPr>
        <w:spacing w:after="60"/>
      </w:pPr>
      <w:r>
        <w:t>Validate the production serving path: confirm the config-only Ollama → vLLM swap works cleanly under real load</w:t>
      </w:r>
    </w:p>
    <w:p w:rsidR="00CB2A53" w:rsidRDefault="00E07B96">
      <w:pPr>
        <w:pStyle w:val="ListParagraph"/>
        <w:numPr>
          <w:ilvl w:val="0"/>
          <w:numId w:val="1"/>
        </w:numPr>
        <w:spacing w:after="60"/>
      </w:pPr>
      <w:r>
        <w:t>Expand the pilot group as HR data coverage grows</w:t>
      </w:r>
    </w:p>
    <w:p w:rsidR="00CB2A53" w:rsidRDefault="00E07B96">
      <w:pPr>
        <w:pStyle w:val="ListParagraph"/>
        <w:numPr>
          <w:ilvl w:val="0"/>
          <w:numId w:val="1"/>
        </w:numPr>
        <w:spacing w:after="60"/>
      </w:pPr>
      <w:r>
        <w:t>Wrap and stabilize the FastAPI backend layer: error handling, input validation, logging consistency</w:t>
      </w:r>
    </w:p>
    <w:p w:rsidR="00E07B96" w:rsidRDefault="00E07B96" w:rsidP="00E07B96">
      <w:pPr>
        <w:pStyle w:val="ListParagraph"/>
        <w:spacing w:after="60"/>
        <w:ind w:left="720"/>
      </w:pPr>
    </w:p>
    <w:p w:rsidR="00CB2A53" w:rsidRDefault="00E07B96" w:rsidP="00E07B96">
      <w:pPr>
        <w:pStyle w:val="ListParagraph"/>
        <w:numPr>
          <w:ilvl w:val="0"/>
          <w:numId w:val="1"/>
        </w:numPr>
        <w:spacing w:after="60"/>
      </w:pPr>
      <w:r>
        <w:t>Release to the six pilot testers — moved from Aug 14 to the week of Aug 17, with the extra time spent loading their real documents and re-measuring the routing thresholds, which were calibrated against a 93-chunk corpus</w:t>
      </w:r>
    </w:p>
    <w:p w:rsidR="00CB2A53" w:rsidRDefault="00E07B96" w:rsidP="00E07B96">
      <w:pPr>
        <w:pStyle w:val="ListParagraph"/>
        <w:numPr>
          <w:ilvl w:val="0"/>
          <w:numId w:val="1"/>
        </w:numPr>
        <w:spacing w:after="60"/>
      </w:pPr>
      <w:r>
        <w:t>Per-chat file upload with session-scoped retrieval, so a user can attach a document to a conversation and question it without adding it to the shared corpus. Requires session scoping in the retrieval filter, a time-to-live for temporary chunks, and forwarding attachments the chat integration currently ignores</w:t>
      </w:r>
    </w:p>
    <w:p w:rsidR="00CB2A53" w:rsidRDefault="00E07B96" w:rsidP="00E07B96">
      <w:pPr>
        <w:pStyle w:val="ListParagraph"/>
        <w:numPr>
          <w:ilvl w:val="0"/>
          <w:numId w:val="1"/>
        </w:numPr>
        <w:spacing w:after="60"/>
      </w:pPr>
      <w:r>
        <w:t>Move document upload and withdrawal into Open WebUI, replacing the API documentation page as the administrator's interface</w:t>
      </w:r>
    </w:p>
    <w:p w:rsidR="00E07B96" w:rsidRDefault="00E07B96">
      <w:pPr>
        <w:pStyle w:val="Heading1"/>
        <w:spacing w:before="320" w:after="120"/>
      </w:pPr>
      <w:r>
        <w:t>Month 3: Broader Rollout, Reliability, Documentation &amp; Handover (Sep 7 – Oct 6, 2026)</w:t>
      </w:r>
    </w:p>
    <w:p w:rsidR="00CB2A53" w:rsidRDefault="00E07B96">
      <w:pPr>
        <w:spacing w:before="160" w:after="80"/>
        <w:rPr>
          <w:b/>
          <w:bCs/>
          <w:i/>
          <w:iCs/>
          <w:color w:val="444444"/>
        </w:rPr>
      </w:pPr>
      <w:r>
        <w:rPr>
          <w:b/>
          <w:bCs/>
          <w:i/>
          <w:iCs/>
          <w:color w:val="444444"/>
        </w:rPr>
        <w:t>Broader Rollout &amp; Reliability (Sep 7 – Sep 20, 2026)</w:t>
      </w:r>
    </w:p>
    <w:p w:rsidR="00E07B96" w:rsidRDefault="00E07B96">
      <w:pPr>
        <w:spacing w:before="160" w:after="80"/>
      </w:pPr>
    </w:p>
    <w:p w:rsidR="00CB2A53" w:rsidRDefault="00E07B96">
      <w:pPr>
        <w:pStyle w:val="ListParagraph"/>
        <w:numPr>
          <w:ilvl w:val="0"/>
          <w:numId w:val="1"/>
        </w:numPr>
        <w:spacing w:after="60"/>
      </w:pPr>
      <w:r>
        <w:t>Extend rollout to additional departments as access data and stakeholder content continue to arrive</w:t>
      </w:r>
    </w:p>
    <w:p w:rsidR="00CB2A53" w:rsidRDefault="00E07B96">
      <w:pPr>
        <w:pStyle w:val="ListParagraph"/>
        <w:numPr>
          <w:ilvl w:val="0"/>
          <w:numId w:val="1"/>
        </w:numPr>
        <w:spacing w:after="60"/>
      </w:pPr>
      <w:r>
        <w:t>Add basic monitoring/observability for query latency, retrieval quality, and failure rates</w:t>
      </w:r>
    </w:p>
    <w:p w:rsidR="00CB2A53" w:rsidRDefault="00E07B96">
      <w:pPr>
        <w:pStyle w:val="ListParagraph"/>
        <w:numPr>
          <w:ilvl w:val="0"/>
          <w:numId w:val="1"/>
        </w:numPr>
        <w:spacing w:after="60"/>
      </w:pPr>
      <w:r>
        <w:t>Refine access control and retrieval behavior based on real-world pilot feedback at broader scale</w:t>
      </w:r>
    </w:p>
    <w:p w:rsidR="00CB2A53" w:rsidRDefault="00E07B96">
      <w:pPr>
        <w:pStyle w:val="ListParagraph"/>
        <w:numPr>
          <w:ilvl w:val="0"/>
          <w:numId w:val="1"/>
        </w:numPr>
        <w:spacing w:after="60"/>
      </w:pPr>
      <w:r>
        <w:t>Continue addressing bugs and edge cases surfaced from expanded usage</w:t>
      </w:r>
    </w:p>
    <w:p w:rsidR="00E07B96" w:rsidRDefault="00E07B96">
      <w:pPr>
        <w:spacing w:before="160" w:after="80"/>
        <w:rPr>
          <w:b/>
          <w:bCs/>
          <w:i/>
          <w:iCs/>
        </w:rPr>
      </w:pPr>
    </w:p>
    <w:p w:rsidR="00CB2A53" w:rsidRDefault="00E07B96">
      <w:pPr>
        <w:spacing w:before="160" w:after="80"/>
        <w:rPr>
          <w:b/>
          <w:bCs/>
          <w:i/>
          <w:iCs/>
          <w:color w:val="444444"/>
        </w:rPr>
      </w:pPr>
      <w:r>
        <w:rPr>
          <w:b/>
          <w:bCs/>
          <w:i/>
          <w:iCs/>
          <w:color w:val="444444"/>
        </w:rPr>
        <w:t>Documentation, Handover &amp; Scalability Writeup (Sep 21 – Oct 6, 2026)</w:t>
      </w:r>
    </w:p>
    <w:p w:rsidR="00E07B96" w:rsidRDefault="00E07B96">
      <w:pPr>
        <w:spacing w:before="160" w:after="80"/>
      </w:pPr>
    </w:p>
    <w:p w:rsidR="00CB2A53" w:rsidRDefault="00E07B96">
      <w:pPr>
        <w:pStyle w:val="ListParagraph"/>
        <w:numPr>
          <w:ilvl w:val="0"/>
          <w:numId w:val="1"/>
        </w:numPr>
        <w:spacing w:after="60"/>
      </w:pPr>
      <w:r>
        <w:t>Finalize architecture documentation and a GitHub-ready project writeup/demo</w:t>
      </w:r>
    </w:p>
    <w:p w:rsidR="00CB2A53" w:rsidRDefault="00E07B96">
      <w:pPr>
        <w:pStyle w:val="ListParagraph"/>
        <w:numPr>
          <w:ilvl w:val="0"/>
          <w:numId w:val="1"/>
        </w:numPr>
        <w:spacing w:after="60"/>
      </w:pPr>
      <w:r>
        <w:t>Document and validate the scalability path — confirm each component (LLM serving, vector DB, storage) can move to larger/shared hardware without application-level changes</w:t>
      </w:r>
    </w:p>
    <w:p w:rsidR="00CB2A53" w:rsidRDefault="00E07B96">
      <w:pPr>
        <w:pStyle w:val="ListParagraph"/>
        <w:numPr>
          <w:ilvl w:val="0"/>
          <w:numId w:val="1"/>
        </w:numPr>
        <w:spacing w:after="60"/>
      </w:pPr>
      <w:r>
        <w:lastRenderedPageBreak/>
        <w:t>Final presentation/demo preparation for stakeholders</w:t>
      </w:r>
    </w:p>
    <w:p w:rsidR="00CB2A53" w:rsidRDefault="00E07B96" w:rsidP="00E07B96">
      <w:pPr>
        <w:pStyle w:val="ListParagraph"/>
        <w:numPr>
          <w:ilvl w:val="0"/>
          <w:numId w:val="1"/>
        </w:numPr>
        <w:spacing w:after="60"/>
      </w:pPr>
      <w:r>
        <w:t>Personal: consolidate learnings into a single document — system design decisions, tradeoffs made, and reasoning behind each</w:t>
      </w:r>
    </w:p>
    <w:sectPr w:rsidR="00CB2A53">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876B58"/>
    <w:multiLevelType w:val="hybridMultilevel"/>
    <w:tmpl w:val="E076A702"/>
    <w:lvl w:ilvl="0" w:tplc="839467B6">
      <w:start w:val="1"/>
      <w:numFmt w:val="bullet"/>
      <w:lvlText w:val="●"/>
      <w:lvlJc w:val="left"/>
      <w:pPr>
        <w:ind w:left="720" w:hanging="360"/>
      </w:pPr>
    </w:lvl>
    <w:lvl w:ilvl="1" w:tplc="51D4B694">
      <w:start w:val="1"/>
      <w:numFmt w:val="bullet"/>
      <w:lvlText w:val="○"/>
      <w:lvlJc w:val="left"/>
      <w:pPr>
        <w:ind w:left="1440" w:hanging="360"/>
      </w:pPr>
    </w:lvl>
    <w:lvl w:ilvl="2" w:tplc="EE78FDE6">
      <w:start w:val="1"/>
      <w:numFmt w:val="bullet"/>
      <w:lvlText w:val="■"/>
      <w:lvlJc w:val="left"/>
      <w:pPr>
        <w:ind w:left="2160" w:hanging="360"/>
      </w:pPr>
    </w:lvl>
    <w:lvl w:ilvl="3" w:tplc="258E1FDC">
      <w:start w:val="1"/>
      <w:numFmt w:val="bullet"/>
      <w:lvlText w:val="●"/>
      <w:lvlJc w:val="left"/>
      <w:pPr>
        <w:ind w:left="2880" w:hanging="360"/>
      </w:pPr>
    </w:lvl>
    <w:lvl w:ilvl="4" w:tplc="8A14AE68">
      <w:start w:val="1"/>
      <w:numFmt w:val="bullet"/>
      <w:lvlText w:val="○"/>
      <w:lvlJc w:val="left"/>
      <w:pPr>
        <w:ind w:left="3600" w:hanging="360"/>
      </w:pPr>
    </w:lvl>
    <w:lvl w:ilvl="5" w:tplc="75F0F644">
      <w:start w:val="1"/>
      <w:numFmt w:val="bullet"/>
      <w:lvlText w:val="■"/>
      <w:lvlJc w:val="left"/>
      <w:pPr>
        <w:ind w:left="4320" w:hanging="360"/>
      </w:pPr>
    </w:lvl>
    <w:lvl w:ilvl="6" w:tplc="217E5C72">
      <w:start w:val="1"/>
      <w:numFmt w:val="bullet"/>
      <w:lvlText w:val="●"/>
      <w:lvlJc w:val="left"/>
      <w:pPr>
        <w:ind w:left="5040" w:hanging="360"/>
      </w:pPr>
    </w:lvl>
    <w:lvl w:ilvl="7" w:tplc="D7BAA734">
      <w:start w:val="1"/>
      <w:numFmt w:val="bullet"/>
      <w:lvlText w:val="●"/>
      <w:lvlJc w:val="left"/>
      <w:pPr>
        <w:ind w:left="5760" w:hanging="360"/>
      </w:pPr>
    </w:lvl>
    <w:lvl w:ilvl="8" w:tplc="E8CC92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A53"/>
    <w:rsid w:val="003A2078"/>
    <w:rsid w:val="00CA6CE3"/>
    <w:rsid w:val="00CB2A53"/>
    <w:rsid w:val="00E0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175F"/>
  <w15:docId w15:val="{4D484A54-3D45-42C5-A5E2-A0F611FBB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Sidharth Vijayan</cp:lastModifiedBy>
  <cp:revision>4</cp:revision>
  <dcterms:created xsi:type="dcterms:W3CDTF">2026-07-28T08:29:00Z</dcterms:created>
  <dcterms:modified xsi:type="dcterms:W3CDTF">2026-08-04T11:00:00Z</dcterms:modified>
</cp:coreProperties>
</file>