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00D82655" w:rsidRPr="00DA7D96">
      <w:pgSz w:w="12240" w:h="15840"/>
      <w:pgMar w:top="1000" w:right="1100" w:bottom="1000" w:left="1100" w:header="708" w:footer="708" w:gutter="0"/>
      <w:cols w:space="720"/>
      <w:docGrid w:linePitch="360"/>
    </w:sectPr>
    <w:p w:rsidR="00A07292" w:rsidRPr="00DA7D96" w:rsidRDefault="005372D6" w:rsidP="00DA7D96">
      <w:pPr>
        <w:spacing w:after="60"/>
        <w:jc w:val="center"/>
        <w:rPr>
          <w:b/>
          <w:sz w:val="36"/>
          <w:szCs w:val="36"/>
          <w:u w:val="single"/>
        </w:rPr>
      </w:pPr>
      <w:r>
        <w:rPr>
          <w:b/>
        </w:rPr>
        <w:t>Code Deployment Status Update</w:t>
      </w:r>
    </w:p>
    <w:p w:rsidR="00A07292" w:rsidRPr="00DA7D96" w:rsidRDefault="005372D6" w:rsidP="00DA7D96">
      <w:pPr>
        <w:spacing w:after="60"/>
        <w:jc w:val="center"/>
        <w:rPr>
          <w:b/>
          <w:sz w:val="36"/>
          <w:szCs w:val="36"/>
          <w:u w:val="single"/>
        </w:rPr>
      </w:pPr>
      <w:r>
        <w:t>Intern: Sidharth  |  Project: Sparkline AI Assistant</w:t>
      </w:r>
    </w:p>
    <w:p w:rsidR="00A07292" w:rsidRPr="00DA7D96" w:rsidRDefault="005372D6" w:rsidP="00DA7D96">
      <w:pPr>
        <w:spacing w:after="60"/>
        <w:jc w:val="center"/>
        <w:rPr>
          <w:b/>
          <w:sz w:val="36"/>
          <w:szCs w:val="36"/>
          <w:u w:val="single"/>
        </w:rPr>
      </w:pPr>
      <w:r>
        <w:t>Last updated: 2026-08-14</w:t>
      </w:r>
    </w:p>
    <w:p w:rsidR="00A07292" w:rsidRPr="00DA7D96" w:rsidRDefault="005372D6">
      <w:pPr>
        <w:pStyle w:val="Heading1"/>
        <w:spacing w:before="340" w:after="140"/>
        <w:rPr>
          <w:b/>
          <w:sz w:val="28"/>
          <w:szCs w:val="28"/>
        </w:rPr>
      </w:pPr>
      <w:r>
        <w:t>Completed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backend architecture built and internally tested — 51 files across infrastructure, ingestion, retrieval, agents, tool suite, access control, gateway, evaluation, and testing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stack live and verified on the production GPU server (SEPL-PC): PostgreSQL, Redis, MinIO, Qdrant, Ollama, FastAPI, and Open WebUI — all 7 containers healthy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FastAPI gateway running with auth (JWT), routing, and document-processing endpoints, documented via auto-generated API docs at /docs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ingestion pipeline fully functional and validated end-to-end against real documents: upload → text extraction → intelligent chunking → embedding generation (BAAI/bge-large-en) → storage in MinIO (raw file) and Qdrant (vectors + access-control metadata)</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Hybrid retrieval pipeline live: dense (Qdrant) + BM25 keyword search merged via Reciprocal Rank Fusion, with cross-encoder reranking and structured citation building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PDP/PEP access control (default-deny ABAC) enforced at retrieval time via Qdrant payload filters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GPU-backed LLM serving is live: qwen2.5-coder:14b running 100% on the RTX 5060 Ti, averaging ~1.4-second end-to-end query latency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connected as the chat frontend via a custom Pipe Function, routing every message through access control, retrieval, and reranking before it reaches the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First real-document RAG validation completed: 2 stakeholder documents ingested (93 chunks), verified via live chat queries returning correct answers with accurate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Four bugs found and fixed during validation: a document-visibility access-control bug, a background-task database-session bug affecting the keyword-search index, a missing Open WebUI Pipe Function on the new server (which would have bypassed access control and retrieval entirely), and an answer-parsing bug that rendered browser answers as sources with no answer text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Stakeholder demo script prepared and updated to cover the now-live LLM chat flow, not just infrastructure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browser chat validated end-to-end on the production server: “Sparkline RAG” selectable as its own model, routing every message through access control, hybrid retrieval, and reranking, and returning cited answers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Citation display refined to list one source per document rather than one per retrieved chunk, with the full per-chunk trail retained in the API response and audit log for compliance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Automatic query routing is live: the assistant decides by itself whether a question is answerable from the ingested documents or should be answered from general knowledge, with no mode switching by the user. Retrieval runs first and the cross-encoder relevance score of the best passage selects between a grounded answer with citations, a blended answer that marks which parts are not from Sparkline documents, and a general answer with no retrieval</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Routing thresholds were measured rather than guessed, using a calibration harness (eval/calibrate_router.py) run over in-corpus and out-of-corpus question sets; they must be re-measured whenever the document set changes materially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retrieval-quality defects fixed: rank fusion was truncating the reranker's candidate pool to the final answer size (so the cross-encoder saw 5 of ~40 candidates and could never promote a lower-ranked passage), and BM25 tokenization left punctuation attached, so keyword search silently dropped out of the hybrid merge for any question ending in a question mark</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WebUI's internal title- and tag-generation requests no longer reach the RAG pipeline; each was consuming a full access-control, retrieval, rerank and GPU pass, polluting conversation history, and occasionally surfacing in the chat as the answer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now state their provenance in the browser — whether they came from Sparkline documents, partly from documents, or from general knowledge — since routing is automatic and the user never chose a mode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test coverage expanded: 45 unit tests (from 10) plus a 17-check live regression suite covering session-history integrity, routing fallbacks, blended-mode behaviour, degenerate input, latency and audit logging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Rollback path in place: ROUTER_MODE=legacy in .env restores the previous always-RAG behaviour without a code change, verified working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Typo tolerance is live: misspelled questions are corrected before retrieval, using only the vocabulary of the documents currently ingested, rebuilt automatically on every upload so the feature follows new content with no code change. All twelve misspelled in-corpus test questions now score identically to their correctly spelled versions, and correctly spelled general questions are unaffected. Ordinary English words are protected from correction using the reranker's existing vocabulary, so a small corpus cannot cause the system to rewrite valid questions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shared password hardcoded in the Open WebUI integration has been removed. The chat front end now authenticates with a service credential and requests a session for an already-authenticated user by email, so it never handles user passwords — which is what makes it safe for a user to change their own password. The service secret fails closed: if unset, the route is disabled rather than accepting an empty value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User account management is live: create a user, change your own password, and an administrator password reset. Previously accounts existed only as a one-shot seed script. The pilot roster is now reconciled by a re-runnable script that deactivates rather than deletes accounts owning documents or audit history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Six pilot testers provisioned end-to-end across both systems (backend account, chat-frontend account and explicit model access), with eleven stale placeholder accounts retired. The release to those testers was moved from 2026-08-14 to the week of 2026-08-17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format coverage widened from four types to ten: PDF including OCR for scanned pages, DOCX, legacy DOC, XLSX, macro-enabled XLSM, legacy XLS, CSV, TSV, TXT and Markdown. Macro-enabled Excel had not been accepted at all, and both pre-2007 formats were listed as supported while failing on every real file. File type is now determined from each file's binary signature rather than its extension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Embedding runs on the GPU: a 4.93 MB, 20-sheet, macro-enabled workbook ingests in 58 seconds, against roughly an hour previously, while indexing twice as much of it. The container already shipped a CUDA build; it had never been granted device access. Embedding falls back to the processor automatically if the shared card runs out of memory, so an upload degrades rather than fails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per-document index ceiling is in place, spread proportionally across a file's sheets or pages so no sheet silently disappears, with the uploader told exactly what was indexed. Cost is driven by the number of text sections a file produces rather than its size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enterprise integration contract with Dhruv's ERP workstream is agreed and documented (ENTERPRISE_ROUTING_CONTRACT.md), including his confirmed record formats and the thirteen subjects the ERP cannot answer, which are refused explicitly rather than falling through to the documents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coverage now stands at 75 unit tests and a 22-check live regression suite, up from 45 and 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Documents can now be withdrawn. An administrator can remove a document and every version of it from the assistant; the vectors are deleted before the database rows, so a partial failure leaves invisible orphaned rows rather than orphaned vectors that would keep being retrieved. The uploaded file itself is retained for audit — only the ability to find and quote it is removed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account can now be used in the chat interface as well as through the API, rather than being upload-only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attachment has been switched off in the chat interface for the pilot. The control was visible but attachments never reached the assistant, so a tester would have attached a file, asked about it, received nothing and concluded the system was broken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tester handbook and a separate administrator guide are written and committed to the repository</w:t>
      </w:r>
    </w:p>
    <w:p w:rsidR="00A07292" w:rsidRPr="00DA7D96" w:rsidRDefault="005372D6">
      <w:pPr>
        <w:pStyle w:val="Heading1"/>
        <w:spacing w:before="340" w:after="140"/>
        <w:rPr>
          <w:b/>
          <w:sz w:val="28"/>
          <w:szCs w:val="28"/>
        </w:rPr>
      </w:pPr>
      <w:r>
        <w:t>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Ingestion and retrieval testing against real Sparkline documents at scale, as more content is provided by stakeholders (only 2 documents validated so far)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Activating real per-user ABAC restrictions, pending department/designation data from HR for the 10 pilot users (all pilot users currently have blanket public-document access)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Live RAGAS evaluation against real documents and real queries to establish baseline faithfulness, relevance, and precision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Prompt-injection / adversarial security testing against the now-live pipeline (test cases were written earlier but couldn't be executed without a live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agent/tool-calling suite (chart generation, Word/Excel export, Python sandbox) is built but not functional with the current model: qwen2.5-coder:14b returns the tool call as message text instead of a structured tool call, so the executor never fires. Confirmed pre-existing and unrelated to the routing work; needs either a model with reliable tool-calling support or a text-based tool-call parser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GPT-OSS 20B empty-response issue, or evaluating a replacement larger model, as a potential upgrade over the current qwen2.5-coder:14b</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Per-user permissions on the ERP side before any of that data is exposed: the integration reaches its database over a single shared connection, so wiring it in as-is would answer every question with the same rights regardless of who asked, leaving the document-level access control intact but meaningless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Validation of the legacy .doc path against a genuine pre-2007 Word file — the reader is installed and wired and failure is graceful, but no such file was available on the server to confirm the success path</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Switching the serving model off the code-specialised variant: qwen2.5-coder:14b is tuned for programming and is being used as a general assistant, which is the root cause of both the non-functional tool-calling and the weak general knowledge. A general instruct model of the same size is a configuration-only change and does not affect routing, since relevance scores come from a separate cross-encoder on the processor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upload with session-scoped retrieval. Blocked by access control rather than by parsing: pilot users resolve to full access, so the retrieval filter is active-version-only and a session document would be visible to every user. Needs session scoping in the search filter, a time-to-live for temporary chunks, and the chat integration to forward attachments it currently ignores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document upload into Open WebUI, so adding and withdrawing a document happens in the same interface as the chat rather than through the API documentation page. Planned for the week of 2026-08-17</w:t>
      </w:r>
    </w:p>
    <w:p w:rsidR="00A07292" w:rsidRPr="00DA7D96" w:rsidRDefault="005372D6">
      <w:pPr>
        <w:pStyle w:val="Heading1"/>
        <w:spacing w:before="340" w:after="140"/>
        <w:rPr>
          <w:b/>
          <w:sz w:val="28"/>
          <w:szCs w:val="28"/>
        </w:rPr>
      </w:pPr>
      <w:r>
        <w:t>Blockers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None critical as of 2026-08-14 — the GPU server blocker is resolved (RTX 5060 Ti provisioned and in active use). Tool-calling (charts/exports) is non-functional with the current model, which limits that feature set but does not block the chat or RAG paths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Real document content and HR department/designation data are still pending from stakeholders — not an engineering blocker, but required before real-data validation at scale and true per-user access-control enforcement can begin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ERP integration cannot be exposed to users until per-user permissions exist on that side. This does not block the document assistant or the pilot, but it does block the enterprise data workstream, and it is the item to resolve with Dhruv before any ERP answer reaches a user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