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9A24B"/>
          <w:sz w:val="20"/>
          <w:szCs w:val="20"/>
        </w:rPr>
        <w:t xml:space="preserve">CUSTOMER &amp; MVP BLUEPRINT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Farm Equipment Rental Platform for Smallholder Farmers, India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Source: Startup Validation Report (Sidh, June 22, 2026)  ·  Built for: rapid MVP scoping</w:t>
      </w:r>
    </w:p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Executive Summary</w:t>
      </w:r>
    </w:p>
    <w:p>
      <w:pPr>
        <w:spacing w:after="90" w:before="40" w:line="260"/>
      </w:pPr>
      <w:r>
        <w:rPr>
          <w:rFonts w:ascii="Arial" w:cs="Arial" w:eastAsia="Arial" w:hAnsi="Arial"/>
          <w:color w:val="2A2A2A"/>
          <w:sz w:val="18"/>
          <w:szCs w:val="18"/>
        </w:rPr>
        <w:t xml:space="preserve">The underlying problem — unaffordable mechanization for India's 125M+ small/marginal farmers — is real and severely under-served by ownership. But the rental category already has an OEM-backed leader (Trringo), a VC-funded challenger (EM3), and a free government alternative (CHCs). The path to product-market fit is not a generic rental app: it is a narrow, trust-first wedge (single district, WhatsApp/voice-first booking, verified operators) that out-executes incumbents on density before competing on brand. This blueprint translates that conclusion into a buildable, 30-day-testable MVP.</w:t>
      </w:r>
    </w:p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Ideal Customer Profile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40"/>
        <w:gridCol w:w="3340"/>
      </w:tblGrid>
      <w:tr>
        <w:tc>
          <w:tcPr>
            <w:tcW w:type="dxa" w:w="23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334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Demand-side (Renter)</w:t>
            </w:r>
          </w:p>
        </w:tc>
        <w:tc>
          <w:tcPr>
            <w:tcW w:type="dxa" w:w="334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Supply-side (Owner)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Profile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Small/marginal farmer, &lt;2 ha, UP/Bihar/MP/Maharashtra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Medium farmer/contractor, 1–2 tractors, 4–10 ha capacity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Need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Affordable, on-time access to machinery for 2–3 critical windows/year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Monetize idle equipment between own usage windows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Digital access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Shared/basic smartphone, WhatsApp-literate, app-shy</w:t>
            </w:r>
          </w:p>
        </w:tc>
        <w:tc>
          <w:tcPr>
            <w:tcW w:type="dxa" w:w="334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Slightly higher literacy; comfortable with calls/WhatsApp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Buyer Persona — “Ramesh”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680"/>
      </w:tblGrid>
      <w:tr>
        <w:tc>
          <w:tcPr>
            <w:tcW w:type="dxa" w:w="23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6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Age / Location</w:t>
            </w:r>
          </w:p>
        </w:tc>
        <w:tc>
          <w:tcPr>
            <w:tcW w:type="dxa" w:w="66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42, small village, eastern Uttar Pradesh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Land &amp; Crop</w:t>
            </w:r>
          </w:p>
        </w:tc>
        <w:tc>
          <w:tcPr>
            <w:tcW w:type="dxa" w:w="66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1.2 ha; wheat (rabi) + paddy (kharif)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Today's workaround</w:t>
            </w:r>
          </w:p>
        </w:tc>
        <w:tc>
          <w:tcPr>
            <w:tcW w:type="dxa" w:w="66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Borrows a neighbor's tractor or calls a known local contractor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Trust driver</w:t>
            </w:r>
          </w:p>
        </w:tc>
        <w:tc>
          <w:tcPr>
            <w:tcW w:type="dxa" w:w="66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Neighbor word-of-mouth beats any ad</w:t>
            </w:r>
          </w:p>
        </w:tc>
      </w:tr>
      <w:tr>
        <w:tc>
          <w:tcPr>
            <w:tcW w:type="dxa" w:w="2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Critical moment</w:t>
            </w:r>
          </w:p>
        </w:tc>
        <w:tc>
          <w:tcPr>
            <w:tcW w:type="dxa" w:w="66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7–10 day sowing/harvest window — availability beats price at the margin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Top 10 Customer Pain Points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380"/>
      </w:tblGrid>
      <w:tr>
        <w:tc>
          <w:tcPr>
            <w:tcW w:type="dxa" w:w="6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3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Pain Point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1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Equipment unavailable exactly when needed — demand spikes hard at sowing/harvest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2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No price transparency — contractor rates negotiated case-by-case, often inflated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3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No verified operator standard — skill and equipment-damage risk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4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Long distance to nearest CHC or reliable contractor in remote villages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5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No fallback if booked equipment breaks down mid-task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6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Cash-only, informal payment — no receipts, no recourse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7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Low trust in digital/online payment for an unseen service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8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Existing informal relationship with a known contractor is sticky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9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Free/subsidized government CHC sets a near-zero price anchor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10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Low personal digital literacy — app perceived as “for my son, not me”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Customer Journey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6"/>
        <w:gridCol w:w="1796"/>
        <w:gridCol w:w="1796"/>
        <w:gridCol w:w="1796"/>
        <w:gridCol w:w="1796"/>
      </w:tblGrid>
      <w:tr>
        <w:tc>
          <w:tcPr>
            <w:tcW w:type="dxa" w:w="1796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Awareness</w:t>
            </w:r>
          </w:p>
        </w:tc>
        <w:tc>
          <w:tcPr>
            <w:tcW w:type="dxa" w:w="1796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Consideration</w:t>
            </w:r>
          </w:p>
        </w:tc>
        <w:tc>
          <w:tcPr>
            <w:tcW w:type="dxa" w:w="1796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Purchase</w:t>
            </w:r>
          </w:p>
        </w:tc>
        <w:tc>
          <w:tcPr>
            <w:tcW w:type="dxa" w:w="1796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First Use</w:t>
            </w:r>
          </w:p>
        </w:tc>
        <w:tc>
          <w:tcPr>
            <w:tcW w:type="dxa" w:w="1796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Retention</w:t>
            </w:r>
          </w:p>
        </w:tc>
      </w:tr>
      <w:tr>
        <w:tc>
          <w:tcPr>
            <w:tcW w:type="dxa" w:w="1796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Village agent/neighbor mentions service</w:t>
            </w:r>
          </w:p>
        </w:tc>
        <w:tc>
          <w:tcPr>
            <w:tcW w:type="dxa" w:w="1796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Compares price vs. contractor &amp; CHC</w:t>
            </w:r>
          </w:p>
        </w:tc>
        <w:tc>
          <w:tcPr>
            <w:tcW w:type="dxa" w:w="1796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Books one low-stakes job via WhatsApp/call</w:t>
            </w:r>
          </w:p>
        </w:tc>
        <w:tc>
          <w:tcPr>
            <w:tcW w:type="dxa" w:w="1796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Judges punctuality, operator skill, fair price</w:t>
            </w:r>
          </w:p>
        </w:tc>
        <w:tc>
          <w:tcPr>
            <w:tcW w:type="dxa" w:w="1796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Repeats next season; refers, or churns on any failure</w:t>
            </w:r>
          </w:p>
        </w:tc>
      </w:tr>
    </w:tbl>
    <w:p>
      <w:pPr>
        <w:spacing w:after="90" w:before="40" w:line="260"/>
      </w:pPr>
      <w:r>
        <w:rPr>
          <w:rFonts w:ascii="Arial" w:cs="Arial" w:eastAsia="Arial" w:hAnsi="Arial"/>
          <w:i/>
          <w:iCs/>
          <w:color w:val="2A2A2A"/>
          <w:sz w:val="18"/>
          <w:szCs w:val="18"/>
        </w:rPr>
        <w:t xml:space="preserve">Pivotal moment: “First Use.” One late arrival or price surprise likely causes permanent churn back to the informal system.</w:t>
      </w:r>
    </w:p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Key Customer Objections &amp; Buying Triggers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0"/>
        <w:gridCol w:w="4490"/>
      </w:tblGrid>
      <w:tr>
        <w:tc>
          <w:tcPr>
            <w:tcW w:type="dxa" w:w="449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Objections</w:t>
            </w:r>
          </w:p>
        </w:tc>
        <w:tc>
          <w:tcPr>
            <w:tcW w:type="dxa" w:w="449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Buying Triggers</w:t>
            </w:r>
          </w:p>
        </w:tc>
      </w:tr>
      <w:tr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“This app is for my son, not me”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“I don't trust paying online”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“What if the tractor doesn't show up?”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“The CHC is free — why pay you?”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“I already have a guy I call”</w:t>
            </w:r>
          </w:p>
        </w:tc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Sowing/harvest season approaching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Neighbor's positive word-of-mouth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Crop-sale / loan-disbursement cash availability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CHC at capacity / unavailable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Govt. scheme awareness drives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MVP Recommendation</w:t>
      </w:r>
    </w:p>
    <w:p>
      <w:pPr>
        <w:pStyle w:val="Heading2"/>
        <w:spacing w:after="9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Build first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A WhatsApp/voice-call booking flow (no app) for ONE district — dispatcher matches farmer requests to nearby listed equipment manually.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A simple owner-side intake (phone + spreadsheet/CRM) to list tractors/implements and availability windows.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A basic operator verification checklist (ID, experience, reference) — the trust layer that's weakly standardized industry-wide.</w:t>
      </w:r>
    </w:p>
    <w:p>
      <w:pPr>
        <w:pStyle w:val="Heading2"/>
        <w:spacing w:after="9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Do NOT build yet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A native mobile app — premature until WhatsApp/voice MVP proves repeat bookings.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Owned equipment fleet — stay asset-light; never buy tractors directly.</w:t>
      </w:r>
    </w:p>
    <w:p>
      <w:pPr>
        <w:pStyle w:val="ListParagraph"/>
        <w:numPr>
          <w:ilvl w:val="0"/>
          <w:numId w:val="2"/>
        </w:numPr>
        <w:spacing w:after="20" w:before="20" w:line="250"/>
      </w:pPr>
      <w:r>
        <w:rPr>
          <w:rFonts w:ascii="Arial" w:cs="Arial" w:eastAsia="Arial" w:hAnsi="Arial"/>
          <w:color w:val="2A2A2A"/>
          <w:sz w:val="17"/>
          <w:szCs w:val="17"/>
        </w:rPr>
        <w:t xml:space="preserve">Multi-state expansion, financing/insurance products, or IoT tracking — all valid later, not now.</w:t>
      </w:r>
    </w:p>
    <w:p>
      <w:pPr>
        <w:pStyle w:val="Heading2"/>
        <w:spacing w:after="9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Success metrics (first 30 days)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0"/>
        <w:gridCol w:w="4490"/>
      </w:tblGrid>
      <w:tr>
        <w:tc>
          <w:tcPr>
            <w:tcW w:type="dxa" w:w="449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49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Completed bookings</w:t>
            </w:r>
          </w:p>
        </w:tc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≥ 15 paid bookings in pilot district</w:t>
            </w:r>
          </w:p>
        </w:tc>
      </w:tr>
      <w:tr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Repeat usage</w:t>
            </w:r>
          </w:p>
        </w:tc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≥ 25% of farmers book a 2nd time within the window</w:t>
            </w:r>
          </w:p>
        </w:tc>
      </w:tr>
      <w:tr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Referral signal</w:t>
            </w:r>
          </w:p>
        </w:tc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≥ 3 bookings sourced from word-of-mouth, unprompted</w:t>
            </w:r>
          </w:p>
        </w:tc>
      </w:tr>
      <w:tr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Unit economics</w:t>
            </w:r>
          </w:p>
        </w:tc>
        <w:tc>
          <w:tcPr>
            <w:tcW w:type="dxa" w:w="449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Positive contribution margin per booking after dispatcher time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MoSCoW Prioritization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480"/>
      </w:tblGrid>
      <w:tr>
        <w:tc>
          <w:tcPr>
            <w:tcW w:type="dxa" w:w="15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4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Items</w:t>
            </w:r>
          </w:p>
        </w:tc>
      </w:tr>
      <w:tr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Must Have</w:t>
            </w:r>
          </w:p>
        </w:tc>
        <w:tc>
          <w:tcPr>
            <w:tcW w:type="dxa" w:w="74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WhatsApp/call booking flow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Owner equipment listing (manual)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Basic operator verification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Cash + simple digital payment receipt</w:t>
            </w:r>
          </w:p>
        </w:tc>
      </w:tr>
      <w:tr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74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Booking confirmation SMS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Simple price-list transparency by task/hour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Dispatcher dashboard (spreadsheet-based)</w:t>
            </w:r>
          </w:p>
        </w:tc>
      </w:tr>
      <w:tr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D7A5C"/>
                <w:sz w:val="16"/>
                <w:szCs w:val="16"/>
              </w:rPr>
              <w:t xml:space="preserve">Could Have</w:t>
            </w:r>
          </w:p>
        </w:tc>
        <w:tc>
          <w:tcPr>
            <w:tcW w:type="dxa" w:w="74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Lightweight native app (post-validation)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Ratings/reviews for operators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Multi-district dispatcher view</w:t>
            </w:r>
          </w:p>
        </w:tc>
      </w:tr>
      <w:tr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Won't Have (now)</w:t>
            </w:r>
          </w:p>
        </w:tc>
        <w:tc>
          <w:tcPr>
            <w:tcW w:type="dxa" w:w="74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Owned equipment fleet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Financing/insurance products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IoT equipment tracking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Multi-state launch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Pricing Hypothesis</w:t>
      </w:r>
    </w:p>
    <w:p>
      <w:pPr>
        <w:spacing w:after="90" w:before="40" w:line="260"/>
      </w:pPr>
      <w:r>
        <w:rPr>
          <w:rFonts w:ascii="Arial" w:cs="Arial" w:eastAsia="Arial" w:hAnsi="Arial"/>
          <w:color w:val="2A2A2A"/>
          <w:sz w:val="18"/>
          <w:szCs w:val="18"/>
        </w:rPr>
        <w:t xml:space="preserve">Commission-based marketplace take-rate of 8–12% on each booking's transaction value, paid by the equipment owner (not the farmer) to keep the farmer's price competitive with informal contractor rates and close to CHC pricing. Validate willingness-to-pay directly in farmer interviews — do not assume the rate; test 3 price points during the pilot.</w:t>
      </w:r>
    </w:p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Top 5 Risks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200"/>
        <w:gridCol w:w="3980"/>
      </w:tblGrid>
      <w:tr>
        <w:tc>
          <w:tcPr>
            <w:tcW w:type="dxa" w:w="29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9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Incumbent competition (Trringo/EM3/CHC)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39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Win one district fully before expanding</w:t>
            </w:r>
          </w:p>
        </w:tc>
      </w:tr>
      <w:tr>
        <w:tc>
          <w:tcPr>
            <w:tcW w:type="dxa" w:w="29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Low app/digital adoption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Medium</w:t>
            </w:r>
          </w:p>
        </w:tc>
        <w:tc>
          <w:tcPr>
            <w:tcW w:type="dxa" w:w="39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WhatsApp/voice-first, no app at MVP stage</w:t>
            </w:r>
          </w:p>
        </w:tc>
      </w:tr>
      <w:tr>
        <w:tc>
          <w:tcPr>
            <w:tcW w:type="dxa" w:w="29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Thin unit economics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39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Density-first rollout; bundle services to raise basket size</w:t>
            </w:r>
          </w:p>
        </w:tc>
      </w:tr>
      <w:tr>
        <w:tc>
          <w:tcPr>
            <w:tcW w:type="dxa" w:w="29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Operator/equipment liability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High</w:t>
            </w:r>
          </w:p>
        </w:tc>
        <w:tc>
          <w:tcPr>
            <w:tcW w:type="dxa" w:w="39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Operator verification + basic insurance partner</w:t>
            </w:r>
          </w:p>
        </w:tc>
      </w:tr>
      <w:tr>
        <w:tc>
          <w:tcPr>
            <w:tcW w:type="dxa" w:w="29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Seasonal demand concentration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Medium</w:t>
            </w:r>
          </w:p>
        </w:tc>
        <w:tc>
          <w:tcPr>
            <w:tcW w:type="dxa" w:w="39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Diversify crop/equipment mix over time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30-Day MVP Plan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80"/>
      </w:tblGrid>
      <w:tr>
        <w:tc>
          <w:tcPr>
            <w:tcW w:type="dxa" w:w="12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77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Week 1</w:t>
            </w:r>
          </w:p>
        </w:tc>
        <w:tc>
          <w:tcPr>
            <w:tcW w:type="dxa" w:w="77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25–30 farmer interviews in one district; validate spend, frustration, willingness to pay</w:t>
            </w:r>
          </w:p>
        </w:tc>
      </w:tr>
      <w:tr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Week 2</w:t>
            </w:r>
          </w:p>
        </w:tc>
        <w:tc>
          <w:tcPr>
            <w:tcW w:type="dxa" w:w="77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10–15 equipment-owner interviews; mystery-shop CHC/Trringo/local contractor pricing</w:t>
            </w:r>
          </w:p>
        </w:tc>
      </w:tr>
      <w:tr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Week 3</w:t>
            </w:r>
          </w:p>
        </w:tc>
        <w:tc>
          <w:tcPr>
            <w:tcW w:type="dxa" w:w="77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Launch WhatsApp/call booking MVP; run real, paid pilot bookings in one village/cluster</w:t>
            </w:r>
          </w:p>
        </w:tc>
      </w:tr>
      <w:tr>
        <w:tc>
          <w:tcPr>
            <w:tcW w:type="dxa" w:w="12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Week 4</w:t>
            </w:r>
          </w:p>
        </w:tc>
        <w:tc>
          <w:tcPr>
            <w:tcW w:type="dxa" w:w="77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Measure bookings, repeat rate, referrals, unit economics; make the Go/No-Go call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Founder Action Sheet — Top 10 Next Actions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380"/>
      </w:tblGrid>
      <w:tr>
        <w:tc>
          <w:tcPr>
            <w:tcW w:type="dxa" w:w="6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3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1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Pick ONE pilot district with high small-farmer density and weak digital-platform coverage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2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Conduct 25–30 farmer interviews in person — validate spend and pain, not just interest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3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Conduct 10–15 equipment-owner interviews — confirm supply-side willingness to list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4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Mystery-shop Trringo, EM3 (if present), and the local CHC for real pricing/turnaround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5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Set up a WhatsApp Business number + simple spreadsheet dispatcher system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6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Define and test 3 commission price points with real bookings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7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Recruit and verify 5–10 equipment owners as initial pilot supply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8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Run 15+ real paid bookings in the pilot window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9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Track repeat-booking and referral rate weekly</w:t>
            </w:r>
          </w:p>
        </w:tc>
      </w:tr>
      <w:tr>
        <w:tc>
          <w:tcPr>
            <w:tcW w:type="dxa" w:w="6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10</w:t>
            </w:r>
          </w:p>
        </w:tc>
        <w:tc>
          <w:tcPr>
            <w:tcW w:type="dxa" w:w="83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Decide Go/No-Go on building a native app based on real pilot data, not assumptions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Scores (0–100)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24098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30"/>
        <w:jc w:val="center"/>
      </w:pP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Customer Clarity, Problem Severity, PMF Potential, MVP Readiness.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580"/>
      </w:tblGrid>
      <w:tr>
        <w:tc>
          <w:tcPr>
            <w:tcW w:type="dxa" w:w="33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58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Customer Clarity</w:t>
            </w:r>
          </w:p>
        </w:tc>
        <w:tc>
          <w:tcPr>
            <w:tcW w:type="dxa" w:w="17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55</w:t>
            </w:r>
          </w:p>
        </w:tc>
        <w:tc>
          <w:tcPr>
            <w:tcW w:type="dxa" w:w="45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ICP and persona are well-defined from secondary data; zero direct interviews yet</w:t>
            </w:r>
          </w:p>
        </w:tc>
      </w:tr>
      <w:tr>
        <w:tc>
          <w:tcPr>
            <w:tcW w:type="dxa" w:w="3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Problem Severity</w:t>
            </w:r>
          </w:p>
        </w:tc>
        <w:tc>
          <w:tcPr>
            <w:tcW w:type="dxa" w:w="17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D7A5C"/>
                <w:sz w:val="16"/>
                <w:szCs w:val="16"/>
              </w:rPr>
              <w:t xml:space="preserve">80</w:t>
            </w:r>
          </w:p>
        </w:tc>
        <w:tc>
          <w:tcPr>
            <w:tcW w:type="dxa" w:w="45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Extensively documented structural problem, decades-old, not assumed</w:t>
            </w:r>
          </w:p>
        </w:tc>
      </w:tr>
      <w:tr>
        <w:tc>
          <w:tcPr>
            <w:tcW w:type="dxa" w:w="3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PMF Potential</w:t>
            </w:r>
          </w:p>
        </w:tc>
        <w:tc>
          <w:tcPr>
            <w:tcW w:type="dxa" w:w="17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4B"/>
                <w:sz w:val="16"/>
                <w:szCs w:val="16"/>
              </w:rPr>
              <w:t xml:space="preserve">42</w:t>
            </w:r>
          </w:p>
        </w:tc>
        <w:tc>
          <w:tcPr>
            <w:tcW w:type="dxa" w:w="45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Real demand, but crowded with strong incumbents — fit depends entirely on finding a wedge</w:t>
            </w:r>
          </w:p>
        </w:tc>
      </w:tr>
      <w:tr>
        <w:tc>
          <w:tcPr>
            <w:tcW w:type="dxa" w:w="3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6"/>
                <w:szCs w:val="16"/>
              </w:rPr>
              <w:t xml:space="preserve">MVP Readiness</w:t>
            </w:r>
          </w:p>
        </w:tc>
        <w:tc>
          <w:tcPr>
            <w:tcW w:type="dxa" w:w="17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463A"/>
                <w:sz w:val="16"/>
                <w:szCs w:val="16"/>
              </w:rPr>
              <w:t xml:space="preserve">38</w:t>
            </w:r>
          </w:p>
        </w:tc>
        <w:tc>
          <w:tcPr>
            <w:tcW w:type="dxa" w:w="458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A2A2A"/>
                <w:sz w:val="16"/>
                <w:szCs w:val="16"/>
              </w:rPr>
              <w:t xml:space="preserve">No interviews, no pilot, no supply-side commitments secured yet</w:t>
            </w:r>
          </w:p>
        </w:tc>
      </w:tr>
    </w:tbl>
    <w:p>
      <w:pPr>
        <w:pStyle w:val="Heading1"/>
        <w:pBdr>
          <w:bottom w:val="single" w:color="C9A24B" w:sz="6" w:space="4"/>
        </w:pBdr>
        <w:spacing w:after="140" w:before="2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Final Verdict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4263F"/>
          <w:sz w:val="17"/>
          <w:szCs w:val="17"/>
          <w:shd w:fill="C9A24B" w:val="clear"/>
        </w:rPr>
        <w:t xml:space="preserve">  🟡  PROMISING BUT UNVALIDATED  </w:t>
      </w:r>
    </w:p>
    <w:p>
      <w:pPr>
        <w:spacing w:after="90" w:before="40" w:line="260"/>
      </w:pPr>
      <w:r>
        <w:rPr>
          <w:rFonts w:ascii="Arial" w:cs="Arial" w:eastAsia="Arial" w:hAnsi="Arial"/>
          <w:color w:val="2A2A2A"/>
          <w:sz w:val="18"/>
          <w:szCs w:val="18"/>
        </w:rPr>
        <w:t xml:space="preserve">The problem is severe and well-documented, but customer clarity, PMF potential, and MVP readiness all sit in the mid-to-low range because no direct farmer or equipment-owner validation has happened yet. This is a promising idea that needs the 30-day plan executed — with a clear wedge identified — before any code or capital commitment.</w:t>
      </w:r>
    </w:p>
    <w:sectPr>
      <w:headerReference w:type="default" r:id="rId7"/>
      <w:footerReference w:type="default" r:id="rId8"/>
      <w:pgSz w:w="12240" w:h="15840" w:orient="portrait"/>
      <w:pgMar w:top="1080" w:right="1000" w:bottom="9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40"/>
      </w:tabs>
    </w:pPr>
    <w:r>
      <w:rPr>
        <w:rFonts w:ascii="Arial" w:cs="Arial" w:eastAsia="Arial" w:hAnsi="Arial"/>
        <w:color w:val="6B7280"/>
        <w:sz w:val="14"/>
        <w:szCs w:val="14"/>
      </w:rPr>
      <w:t xml:space="preserve">Built on the Startup Validation Report — June 22, 2026</w:t>
    </w:r>
    <w:r>
      <w:rPr>
        <w:rFonts w:ascii="Arial" w:cs="Arial" w:eastAsia="Arial" w:hAnsi="Arial"/>
        <w:color w:val="6B7280"/>
        <w:sz w:val="14"/>
        <w:szCs w:val="14"/>
      </w:rPr>
      <w:t xml:space="preserve">	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4"/>
        <w:szCs w:val="14"/>
      </w:rPr>
      <w:t xml:space="preserve"> of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4"/>
      </w:pBdr>
      <w:tabs>
        <w:tab w:val="right" w:pos="10240"/>
      </w:tabs>
    </w:pPr>
    <w:r>
      <w:rPr>
        <w:rFonts w:ascii="Arial" w:cs="Arial" w:eastAsia="Arial" w:hAnsi="Arial"/>
        <w:b/>
        <w:bCs/>
        <w:color w:val="6B7280"/>
        <w:sz w:val="14"/>
        <w:szCs w:val="14"/>
      </w:rPr>
      <w:t xml:space="preserve">CUSTOMER &amp; MVP BLUEPRINT</w:t>
    </w:r>
    <w:r>
      <w:rPr>
        <w:rFonts w:ascii="Arial" w:cs="Arial" w:eastAsia="Arial" w:hAnsi="Arial"/>
        <w:color w:val="6B7280"/>
        <w:sz w:val="14"/>
        <w:szCs w:val="14"/>
      </w:rPr>
      <w:t xml:space="preserve">	Farm Equipment Rental Platform —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20" w:hanging="220"/>
      </w:pPr>
      <w:rPr>
        <w:b/>
        <w:bCs/>
        <w:color w:val="C9A2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2ab67948e9df40518fa1e3d797b6083d441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2026-06-23T04:38:14.902Z</dcterms:created>
  <dcterms:modified xsi:type="dcterms:W3CDTF">2026-06-23T04:38:14.902Z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