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NetSage AI</w:t>
      </w:r>
    </w:p>
    <w:p>
      <w:r>
        <w:rPr>
          <w:i/>
          <w:iCs/>
          <w:sz w:val="26"/>
          <w:szCs w:val="26"/>
        </w:rPr>
        <w:t xml:space="preserve">AI-Assisted Network Troubleshooter with Human Review — Solution Summary</w:t>
      </w:r>
    </w:p>
    <w:p>
      <w:pPr>
        <w:spacing w:after="120"/>
      </w:pPr>
      <w:r>
        <w:rPr>
          <w:sz w:val="22"/>
          <w:szCs w:val="22"/>
        </w:rPr>
        <w:t xml:space="preserve">Cisco AICTE Virtual Internship Program 2026 — Artificial Intelligence Domain</w:t>
      </w:r>
    </w:p>
    <w:p>
      <w:pPr>
        <w:pStyle w:val="Heading1"/>
        <w:spacing w:after="120" w:before="240"/>
      </w:pPr>
      <w:r>
        <w:t xml:space="preserve">1. Objective</w:t>
      </w:r>
    </w:p>
    <w:p>
      <w:pPr>
        <w:spacing w:after="120"/>
      </w:pPr>
      <w:r>
        <w:rPr>
          <w:sz w:val="22"/>
          <w:szCs w:val="22"/>
        </w:rPr>
        <w:t xml:space="preserve">Build a troubleshooting assistant for Cisco-style lab networks that reads a symptom, a topology note, and show-command evidence, then recommends a likely root cause, the OSI layer, the next command to run, and an evidence-backed fix — with every diagnosis reviewed and accepted, edited, or rejected by a human before being trusted.</w:t>
      </w:r>
    </w:p>
    <w:p>
      <w:pPr>
        <w:pStyle w:val="Heading1"/>
        <w:spacing w:after="120" w:before="240"/>
      </w:pPr>
      <w:r>
        <w:t xml:space="preserve">2. Source Lab and Case Dataset</w:t>
      </w:r>
    </w:p>
    <w:p>
      <w:pPr>
        <w:spacing w:after="120"/>
      </w:pPr>
      <w:r>
        <w:rPr>
          <w:sz w:val="22"/>
          <w:szCs w:val="22"/>
        </w:rPr>
        <w:t xml:space="preserve">The 30 troubleshooting cases (cases.csv) are grounded in a real branch-network lab built in Cisco Packet Tracer (attached .pkt file): a router (router-on-a-stick with VLANs 10/20/30/99), two switches, an access point serving a guest SSID, a server, and 8+ endpoints, with DHCP, NAT, and guest-isolation ACLs configured. Cases cover VLAN, gateway, DHCP, DNS, routing, ACL, NAT, port-security, trunking, and wireless faults — several are directly reproduced from fault-injection cycles performed on this lab (wrong gateway, missing VLAN on trunk, DHCP pool exhaustion, ACL blocking DNS, NAT ACL missing a subnet), with the rest modelled on realistic variations of the same fault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4E79" w:val="clear"/>
          </w:tcPr>
          <w:p>
            <w:r>
              <w:rPr>
                <w:b/>
                <w:bCs/>
                <w:color w:val="FFFFFF"/>
                <w:sz w:val="20"/>
                <w:szCs w:val="20"/>
              </w:rPr>
              <w:t xml:space="preserve">Field</w:t>
            </w:r>
          </w:p>
        </w:tc>
        <w:tc>
          <w:tcPr>
            <w:tcW w:type="dxa" w:w="6960"/>
            <w:shd w:fill="1F4E79" w:val="clear"/>
          </w:tcPr>
          <w:p>
            <w:r>
              <w:rPr>
                <w:b/>
                <w:bCs/>
                <w:color w:val="FFFFFF"/>
                <w:sz w:val="20"/>
                <w:szCs w:val="20"/>
              </w:rPr>
              <w:t xml:space="preserve">Description</w:t>
            </w:r>
          </w:p>
        </w:tc>
      </w:tr>
      <w:tr>
        <w:tc>
          <w:tcPr>
            <w:tcW w:type="dxa" w:w="2400"/>
          </w:tcPr>
          <w:p>
            <w:r>
              <w:rPr>
                <w:b w:val="false"/>
                <w:bCs w:val="false"/>
                <w:sz w:val="20"/>
                <w:szCs w:val="20"/>
              </w:rPr>
              <w:t xml:space="preserve">case_id</w:t>
            </w:r>
          </w:p>
        </w:tc>
        <w:tc>
          <w:tcPr>
            <w:tcW w:type="dxa" w:w="6960"/>
          </w:tcPr>
          <w:p>
            <w:r>
              <w:rPr>
                <w:b w:val="false"/>
                <w:bCs w:val="false"/>
                <w:sz w:val="20"/>
                <w:szCs w:val="20"/>
              </w:rPr>
              <w:t xml:space="preserve">Unique case identifier (C001–C030)</w:t>
            </w:r>
          </w:p>
        </w:tc>
      </w:tr>
      <w:tr>
        <w:tc>
          <w:tcPr>
            <w:tcW w:type="dxa" w:w="2400"/>
          </w:tcPr>
          <w:p>
            <w:r>
              <w:rPr>
                <w:b w:val="false"/>
                <w:bCs w:val="false"/>
                <w:sz w:val="20"/>
                <w:szCs w:val="20"/>
              </w:rPr>
              <w:t xml:space="preserve">symptom</w:t>
            </w:r>
          </w:p>
        </w:tc>
        <w:tc>
          <w:tcPr>
            <w:tcW w:type="dxa" w:w="6960"/>
          </w:tcPr>
          <w:p>
            <w:r>
              <w:rPr>
                <w:b w:val="false"/>
                <w:bCs w:val="false"/>
                <w:sz w:val="20"/>
                <w:szCs w:val="20"/>
              </w:rPr>
              <w:t xml:space="preserve">What the user/engineer observed</w:t>
            </w:r>
          </w:p>
        </w:tc>
      </w:tr>
      <w:tr>
        <w:tc>
          <w:tcPr>
            <w:tcW w:type="dxa" w:w="2400"/>
          </w:tcPr>
          <w:p>
            <w:r>
              <w:rPr>
                <w:b w:val="false"/>
                <w:bCs w:val="false"/>
                <w:sz w:val="20"/>
                <w:szCs w:val="20"/>
              </w:rPr>
              <w:t xml:space="preserve">topology_note</w:t>
            </w:r>
          </w:p>
        </w:tc>
        <w:tc>
          <w:tcPr>
            <w:tcW w:type="dxa" w:w="6960"/>
          </w:tcPr>
          <w:p>
            <w:r>
              <w:rPr>
                <w:b w:val="false"/>
                <w:bCs w:val="false"/>
                <w:sz w:val="20"/>
                <w:szCs w:val="20"/>
              </w:rPr>
              <w:t xml:space="preserve">Relevant part of the lab topology</w:t>
            </w:r>
          </w:p>
        </w:tc>
      </w:tr>
      <w:tr>
        <w:tc>
          <w:tcPr>
            <w:tcW w:type="dxa" w:w="2400"/>
          </w:tcPr>
          <w:p>
            <w:r>
              <w:rPr>
                <w:b w:val="false"/>
                <w:bCs w:val="false"/>
                <w:sz w:val="20"/>
                <w:szCs w:val="20"/>
              </w:rPr>
              <w:t xml:space="preserve">show_output</w:t>
            </w:r>
          </w:p>
        </w:tc>
        <w:tc>
          <w:tcPr>
            <w:tcW w:type="dxa" w:w="6960"/>
          </w:tcPr>
          <w:p>
            <w:r>
              <w:rPr>
                <w:b w:val="false"/>
                <w:bCs w:val="false"/>
                <w:sz w:val="20"/>
                <w:szCs w:val="20"/>
              </w:rPr>
              <w:t xml:space="preserve">Evidence: relevant show-command output or log line</w:t>
            </w:r>
          </w:p>
        </w:tc>
      </w:tr>
      <w:tr>
        <w:tc>
          <w:tcPr>
            <w:tcW w:type="dxa" w:w="2400"/>
          </w:tcPr>
          <w:p>
            <w:r>
              <w:rPr>
                <w:b w:val="false"/>
                <w:bCs w:val="false"/>
                <w:sz w:val="20"/>
                <w:szCs w:val="20"/>
              </w:rPr>
              <w:t xml:space="preserve">expected_fault</w:t>
            </w:r>
          </w:p>
        </w:tc>
        <w:tc>
          <w:tcPr>
            <w:tcW w:type="dxa" w:w="6960"/>
          </w:tcPr>
          <w:p>
            <w:r>
              <w:rPr>
                <w:b w:val="false"/>
                <w:bCs w:val="false"/>
                <w:sz w:val="20"/>
                <w:szCs w:val="20"/>
              </w:rPr>
              <w:t xml:space="preserve">Ground-truth root cause used to grade the AI</w:t>
            </w:r>
          </w:p>
        </w:tc>
      </w:tr>
      <w:tr>
        <w:tc>
          <w:tcPr>
            <w:tcW w:type="dxa" w:w="2400"/>
          </w:tcPr>
          <w:p>
            <w:r>
              <w:rPr>
                <w:b w:val="false"/>
                <w:bCs w:val="false"/>
                <w:sz w:val="20"/>
                <w:szCs w:val="20"/>
              </w:rPr>
              <w:t xml:space="preserve">osi_layer / concept_tag / severity</w:t>
            </w:r>
          </w:p>
        </w:tc>
        <w:tc>
          <w:tcPr>
            <w:tcW w:type="dxa" w:w="6960"/>
          </w:tcPr>
          <w:p>
            <w:r>
              <w:rPr>
                <w:b w:val="false"/>
                <w:bCs w:val="false"/>
                <w:sz w:val="20"/>
                <w:szCs w:val="20"/>
              </w:rPr>
              <w:t xml:space="preserve">Classification used for the dashboard</w:t>
            </w:r>
          </w:p>
        </w:tc>
      </w:tr>
    </w:tbl>
    <w:p>
      <w:pPr>
        <w:pStyle w:val="Heading1"/>
        <w:spacing w:after="120" w:before="240"/>
      </w:pPr>
      <w:r>
        <w:t xml:space="preserve">3. AI Prompt Library</w:t>
      </w:r>
    </w:p>
    <w:p>
      <w:pPr>
        <w:spacing w:after="120"/>
      </w:pPr>
      <w:r>
        <w:rPr>
          <w:sz w:val="22"/>
          <w:szCs w:val="22"/>
        </w:rPr>
        <w:t xml:space="preserve">diagnose_prompt.md defines a structured system prompt that forces strict JSON output (root_cause, osi_layer, confidence, evidence, next_command, fix_steps) and includes two worked few-shot examples. The model is instructed to ground every claim in the literal evidence provided, to request a specific next_command whenever confidence is not high, and never to invent commands or output it wasn't given. A companion verify_prompt.md is used to summarize what the model got right or wrong after human review, feeding the Responsible AI log.</w:t>
      </w:r>
    </w:p>
    <w:p>
      <w:pPr>
        <w:pStyle w:val="Heading1"/>
        <w:spacing w:after="120" w:before="240"/>
      </w:pPr>
      <w:r>
        <w:t xml:space="preserve">4. Deterministic Rule Checker</w:t>
      </w:r>
    </w:p>
    <w:p>
      <w:pPr>
        <w:spacing w:after="120"/>
      </w:pPr>
      <w:r>
        <w:rPr>
          <w:sz w:val="22"/>
          <w:szCs w:val="22"/>
        </w:rPr>
        <w:t xml:space="preserve">rule_checker.py runs independently of the AI model and flags common config mistakes directly from case text using pattern rules: duplicate/conflicting IPs, interface-down states, ACL statements blocking broad traffic or specific services, DHCP pool exhaustion, missing-route indicators, and spanning-tree/loop symptoms. Run against the full case set:</w:t>
      </w:r>
    </w:p>
    <w:p>
      <w:pPr>
        <w:spacing w:after="120"/>
      </w:pPr>
      <w:r>
        <w:rPr>
          <w:sz w:val="22"/>
          <w:szCs w:val="22"/>
        </w:rPr>
        <w:t xml:space="preserve">python rule_checker.py cases.csv  →  30 cases checked, 9 flagged automatically by deterministic rules (30%) — the remainder rely on AI reasoning plus human judgement, which is the intended split: deterministic checks catch clear-cut config errors, while ambiguous or multi-cause symptoms are left to the AI-plus-reviewer workflow.</w:t>
      </w:r>
    </w:p>
    <w:p>
      <w:pPr>
        <w:pStyle w:val="Heading1"/>
        <w:spacing w:after="120" w:before="240"/>
      </w:pPr>
      <w:r>
        <w:t xml:space="preserve">5. Dashboard (dashboard.xlsx)</w:t>
      </w:r>
    </w:p>
    <w:p>
      <w:pPr>
        <w:spacing w:after="120"/>
      </w:pPr>
      <w:r>
        <w:rPr>
          <w:sz w:val="22"/>
          <w:szCs w:val="22"/>
        </w:rPr>
        <w:t xml:space="preserve">The dashboard summarizes the 30 cases by severity (12 Medium, 9 High, 5 Low, 4 Critical) and by OSI layer, and tracks the human-review verdicts on AI diagnoses: 20 Accepted, 7 Edited, 3 Rejected — a 66.7% AI/human agreement rate. Charts (bar for severity, pie for verdicts) are included on the Summary sheet, with full case data and the AI/human review log on separate sheets.</w:t>
      </w:r>
    </w:p>
    <w:p>
      <w:pPr>
        <w:pStyle w:val="Heading1"/>
        <w:spacing w:after="120" w:before="240"/>
      </w:pPr>
      <w:r>
        <w:t xml:space="preserve">6. Human Review and Responsible AI Log</w:t>
      </w:r>
    </w:p>
    <w:p>
      <w:pPr>
        <w:spacing w:after="120"/>
      </w:pPr>
      <w:r>
        <w:rPr>
          <w:sz w:val="22"/>
          <w:szCs w:val="22"/>
        </w:rPr>
        <w:t xml:space="preserve">Every AI diagnosis is reviewed before being trusted; none is used to auto-apply a fix in Packet Tracer. responsible_ai_log.md documents 5 cases where the AI's answer was edited or rejected, for example: defaulting to the statistically common cause (transport-level SSH failure) instead of the ACL-subnet evidence actually given, misidentifying which specific interface a duplex-mismatch counter belonged to, and — most significantly — a security-relevant case where the AI reported "no fault found" despite an ACL that failed to explicitly deny the guest subnet. The recurring failure pattern identified is that the model can default to the most common textbook cause for a symptom rather than strictly grounding its answer in the evidence supplied; this shaped later revisions to the prompt library.</w:t>
      </w:r>
    </w:p>
    <w:p>
      <w:pPr>
        <w:pStyle w:val="Heading1"/>
        <w:spacing w:after="120" w:before="240"/>
      </w:pPr>
      <w:r>
        <w:t xml:space="preserve">7. How the Deliverables Map to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F4E79" w:val="clear"/>
          </w:tcPr>
          <w:p>
            <w:r>
              <w:rPr>
                <w:b/>
                <w:bCs/>
                <w:color w:val="FFFFFF"/>
                <w:sz w:val="20"/>
                <w:szCs w:val="20"/>
              </w:rPr>
              <w:t xml:space="preserve">Requirement</w:t>
            </w:r>
          </w:p>
        </w:tc>
        <w:tc>
          <w:tcPr>
            <w:tcW w:type="dxa" w:w="5960"/>
            <w:shd w:fill="1F4E79" w:val="clear"/>
          </w:tcPr>
          <w:p>
            <w:r>
              <w:rPr>
                <w:b/>
                <w:bCs/>
                <w:color w:val="FFFFFF"/>
                <w:sz w:val="20"/>
                <w:szCs w:val="20"/>
              </w:rPr>
              <w:t xml:space="preserve">Delivered as</w:t>
            </w:r>
          </w:p>
        </w:tc>
      </w:tr>
      <w:tr>
        <w:tc>
          <w:tcPr>
            <w:tcW w:type="dxa" w:w="3400"/>
          </w:tcPr>
          <w:p>
            <w:r>
              <w:rPr>
                <w:b w:val="false"/>
                <w:bCs w:val="false"/>
                <w:sz w:val="20"/>
                <w:szCs w:val="20"/>
              </w:rPr>
              <w:t xml:space="preserve">Case dataset (30+)</w:t>
            </w:r>
          </w:p>
        </w:tc>
        <w:tc>
          <w:tcPr>
            <w:tcW w:type="dxa" w:w="5960"/>
          </w:tcPr>
          <w:p>
            <w:r>
              <w:rPr>
                <w:b w:val="false"/>
                <w:bCs w:val="false"/>
                <w:sz w:val="20"/>
                <w:szCs w:val="20"/>
              </w:rPr>
              <w:t xml:space="preserve">cases.csv</w:t>
            </w:r>
          </w:p>
        </w:tc>
      </w:tr>
      <w:tr>
        <w:tc>
          <w:tcPr>
            <w:tcW w:type="dxa" w:w="3400"/>
          </w:tcPr>
          <w:p>
            <w:r>
              <w:rPr>
                <w:b w:val="false"/>
                <w:bCs w:val="false"/>
                <w:sz w:val="20"/>
                <w:szCs w:val="20"/>
              </w:rPr>
              <w:t xml:space="preserve">AI prompt library</w:t>
            </w:r>
          </w:p>
        </w:tc>
        <w:tc>
          <w:tcPr>
            <w:tcW w:type="dxa" w:w="5960"/>
          </w:tcPr>
          <w:p>
            <w:r>
              <w:rPr>
                <w:b w:val="false"/>
                <w:bCs w:val="false"/>
                <w:sz w:val="20"/>
                <w:szCs w:val="20"/>
              </w:rPr>
              <w:t xml:space="preserve">diagnose_prompt.md (+ verify_prompt.md)</w:t>
            </w:r>
          </w:p>
        </w:tc>
      </w:tr>
      <w:tr>
        <w:tc>
          <w:tcPr>
            <w:tcW w:type="dxa" w:w="3400"/>
          </w:tcPr>
          <w:p>
            <w:r>
              <w:rPr>
                <w:b w:val="false"/>
                <w:bCs w:val="false"/>
                <w:sz w:val="20"/>
                <w:szCs w:val="20"/>
              </w:rPr>
              <w:t xml:space="preserve">Rule checker</w:t>
            </w:r>
          </w:p>
        </w:tc>
        <w:tc>
          <w:tcPr>
            <w:tcW w:type="dxa" w:w="5960"/>
          </w:tcPr>
          <w:p>
            <w:r>
              <w:rPr>
                <w:b w:val="false"/>
                <w:bCs w:val="false"/>
                <w:sz w:val="20"/>
                <w:szCs w:val="20"/>
              </w:rPr>
              <w:t xml:space="preserve">rule_checker.py, sample run above</w:t>
            </w:r>
          </w:p>
        </w:tc>
      </w:tr>
      <w:tr>
        <w:tc>
          <w:tcPr>
            <w:tcW w:type="dxa" w:w="3400"/>
          </w:tcPr>
          <w:p>
            <w:r>
              <w:rPr>
                <w:b w:val="false"/>
                <w:bCs w:val="false"/>
                <w:sz w:val="20"/>
                <w:szCs w:val="20"/>
              </w:rPr>
              <w:t xml:space="preserve">Dashboard</w:t>
            </w:r>
          </w:p>
        </w:tc>
        <w:tc>
          <w:tcPr>
            <w:tcW w:type="dxa" w:w="5960"/>
          </w:tcPr>
          <w:p>
            <w:r>
              <w:rPr>
                <w:b w:val="false"/>
                <w:bCs w:val="false"/>
                <w:sz w:val="20"/>
                <w:szCs w:val="20"/>
              </w:rPr>
              <w:t xml:space="preserve">dashboard.xlsx</w:t>
            </w:r>
          </w:p>
        </w:tc>
      </w:tr>
      <w:tr>
        <w:tc>
          <w:tcPr>
            <w:tcW w:type="dxa" w:w="3400"/>
          </w:tcPr>
          <w:p>
            <w:r>
              <w:rPr>
                <w:b w:val="false"/>
                <w:bCs w:val="false"/>
                <w:sz w:val="20"/>
                <w:szCs w:val="20"/>
              </w:rPr>
              <w:t xml:space="preserve">Responsible AI log (5+)</w:t>
            </w:r>
          </w:p>
        </w:tc>
        <w:tc>
          <w:tcPr>
            <w:tcW w:type="dxa" w:w="5960"/>
          </w:tcPr>
          <w:p>
            <w:r>
              <w:rPr>
                <w:b w:val="false"/>
                <w:bCs w:val="false"/>
                <w:sz w:val="20"/>
                <w:szCs w:val="20"/>
              </w:rPr>
              <w:t xml:space="preserve">responsible_ai_log.md</w:t>
            </w:r>
          </w:p>
        </w:tc>
      </w:tr>
      <w:tr>
        <w:tc>
          <w:tcPr>
            <w:tcW w:type="dxa" w:w="3400"/>
          </w:tcPr>
          <w:p>
            <w:r>
              <w:rPr>
                <w:b w:val="false"/>
                <w:bCs w:val="false"/>
                <w:sz w:val="20"/>
                <w:szCs w:val="20"/>
              </w:rPr>
              <w:t xml:space="preserve">Packet Tracer lab source</w:t>
            </w:r>
          </w:p>
        </w:tc>
        <w:tc>
          <w:tcPr>
            <w:tcW w:type="dxa" w:w="5960"/>
          </w:tcPr>
          <w:p>
            <w:r>
              <w:rPr>
                <w:b w:val="false"/>
                <w:bCs w:val="false"/>
                <w:sz w:val="20"/>
                <w:szCs w:val="20"/>
              </w:rPr>
              <w:t xml:space="preserve">Attached .pkt file</w:t>
            </w:r>
          </w:p>
        </w:tc>
      </w:tr>
      <w:tr>
        <w:tc>
          <w:tcPr>
            <w:tcW w:type="dxa" w:w="3400"/>
          </w:tcPr>
          <w:p>
            <w:r>
              <w:rPr>
                <w:b w:val="false"/>
                <w:bCs w:val="false"/>
                <w:sz w:val="20"/>
                <w:szCs w:val="20"/>
              </w:rPr>
              <w:t xml:space="preserve">Demo video</w:t>
            </w:r>
          </w:p>
        </w:tc>
        <w:tc>
          <w:tcPr>
            <w:tcW w:type="dxa" w:w="5960"/>
          </w:tcPr>
          <w:p>
            <w:r>
              <w:rPr>
                <w:b w:val="false"/>
                <w:bCs w:val="false"/>
                <w:sz w:val="20"/>
                <w:szCs w:val="20"/>
              </w:rPr>
              <w:t xml:space="preserve">Attached separately — shows a broken case, AI output, human review, fix, and verification</w:t>
            </w:r>
          </w:p>
        </w:tc>
      </w:tr>
    </w:tbl>
    <w:p>
      <w:pPr>
        <w:pStyle w:val="Heading1"/>
        <w:spacing w:after="120" w:before="240"/>
      </w:pPr>
      <w:r>
        <w:t xml:space="preserve">8. Conclusion</w:t>
      </w:r>
    </w:p>
    <w:p>
      <w:pPr>
        <w:spacing w:after="120"/>
      </w:pPr>
      <w:r>
        <w:rPr>
          <w:sz w:val="22"/>
          <w:szCs w:val="22"/>
        </w:rPr>
        <w:t xml:space="preserve">NetSage AI demonstrates an AI-assisted, evidence-grounded, human-reviewed approach to network troubleshooting: a real Packet Tracer lab grounds the case data, a structured prompt library keeps the AI's reasoning tied to actual evidence, a deterministic checker independently catches a third of cases without needing the AI at all, and a logged human-review loop — including cases where the AI was wrong — keeps a person in control of every accepted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2026-08-21T16:28:07.326Z</dcterms:created>
  <dcterms:modified xsi:type="dcterms:W3CDTF">2026-08-21T16:28:07.339Z</dcterms:modified>
</cp:coreProperties>
</file>

<file path=docProps/custom.xml><?xml version="1.0" encoding="utf-8"?>
<Properties xmlns="http://schemas.openxmlformats.org/officeDocument/2006/custom-properties" xmlns:vt="http://schemas.openxmlformats.org/officeDocument/2006/docPropsVTypes"/>
</file>