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8F0B8" w14:textId="75B57C36" w:rsidR="002A74B3" w:rsidRDefault="003B7B2C" w:rsidP="003B7B2C">
      <w:pPr>
        <w:jc w:val="center"/>
        <w:rPr>
          <w:b/>
          <w:bCs/>
        </w:rPr>
      </w:pPr>
      <w:r>
        <w:rPr>
          <w:rFonts w:hint="eastAsia"/>
          <w:b/>
          <w:bCs/>
        </w:rPr>
        <w:t>Testing Strategy for channel</w:t>
      </w:r>
    </w:p>
    <w:p w14:paraId="7FB17C60" w14:textId="3DE6D069" w:rsidR="003B7B2C" w:rsidRPr="00B91110" w:rsidRDefault="00B91110" w:rsidP="003B7B2C">
      <w:pPr>
        <w:rPr>
          <w:rFonts w:hint="eastAsia"/>
        </w:rPr>
      </w:pPr>
      <w:r>
        <w:rPr>
          <w:rFonts w:hint="eastAsia"/>
        </w:rPr>
        <w:t xml:space="preserve">The first thing to test in the channel is the Gilbert Fading module. It is programmed to generate </w:t>
      </w:r>
      <w:r>
        <w:t>an</w:t>
      </w:r>
      <w:r>
        <w:rPr>
          <w:rFonts w:hint="eastAsia"/>
        </w:rPr>
        <w:t xml:space="preserve"> </w:t>
      </w:r>
      <w:r>
        <w:t>enabled</w:t>
      </w:r>
      <w:r>
        <w:rPr>
          <w:rFonts w:hint="eastAsia"/>
        </w:rPr>
        <w:t xml:space="preserve"> signal with high for good </w:t>
      </w:r>
      <w:r>
        <w:t>channels</w:t>
      </w:r>
      <w:r>
        <w:rPr>
          <w:rFonts w:hint="eastAsia"/>
        </w:rPr>
        <w:t xml:space="preserve"> and low for bad </w:t>
      </w:r>
      <w:r>
        <w:t>channels</w:t>
      </w:r>
      <w:r>
        <w:rPr>
          <w:rFonts w:hint="eastAsia"/>
        </w:rPr>
        <w:t xml:space="preserve">. Through the waveform, we should be able to observe the </w:t>
      </w:r>
      <w:r>
        <w:t>enabled</w:t>
      </w:r>
      <w:r>
        <w:rPr>
          <w:rFonts w:hint="eastAsia"/>
        </w:rPr>
        <w:t xml:space="preserve"> </w:t>
      </w:r>
      <w:r>
        <w:t>signal</w:t>
      </w:r>
      <w:r>
        <w:rPr>
          <w:rFonts w:hint="eastAsia"/>
        </w:rPr>
        <w:t xml:space="preserve"> changing which is shown on </w:t>
      </w:r>
      <w:r>
        <w:t xml:space="preserve">the </w:t>
      </w:r>
      <w:r>
        <w:rPr>
          <w:rFonts w:hint="eastAsia"/>
        </w:rPr>
        <w:t>figure.</w:t>
      </w:r>
    </w:p>
    <w:p w14:paraId="63A0A486" w14:textId="60F29250" w:rsidR="00B91110" w:rsidRDefault="00B91110" w:rsidP="003B7B2C">
      <w:r w:rsidRPr="00B91110">
        <w:drawing>
          <wp:inline distT="0" distB="0" distL="0" distR="0" wp14:anchorId="54E3F67B" wp14:editId="4B2E268F">
            <wp:extent cx="5274310" cy="534035"/>
            <wp:effectExtent l="0" t="0" r="2540" b="0"/>
            <wp:docPr id="176881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17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1EC8" w14:textId="530AAFDD" w:rsidR="00B91110" w:rsidRDefault="00B91110" w:rsidP="003B7B2C">
      <w:r>
        <w:t>The following</w:t>
      </w:r>
      <w:r>
        <w:rPr>
          <w:rFonts w:hint="eastAsia"/>
        </w:rPr>
        <w:t xml:space="preserve"> is to </w:t>
      </w:r>
      <w:r>
        <w:t>co</w:t>
      </w:r>
      <w:r>
        <w:rPr>
          <w:rFonts w:hint="eastAsia"/>
        </w:rPr>
        <w:t xml:space="preserve">unt the number of good </w:t>
      </w:r>
      <w:r>
        <w:t>states</w:t>
      </w:r>
      <w:r>
        <w:rPr>
          <w:rFonts w:hint="eastAsia"/>
        </w:rPr>
        <w:t xml:space="preserve"> </w:t>
      </w:r>
      <w:r>
        <w:t>compared</w:t>
      </w:r>
      <w:r>
        <w:rPr>
          <w:rFonts w:hint="eastAsia"/>
        </w:rPr>
        <w:t xml:space="preserve"> to the total. </w:t>
      </w:r>
      <w:r>
        <w:t>T</w:t>
      </w:r>
      <w:r>
        <w:rPr>
          <w:rFonts w:hint="eastAsia"/>
        </w:rPr>
        <w:t xml:space="preserve">he </w:t>
      </w:r>
      <w:r>
        <w:t>steady-state</w:t>
      </w:r>
      <w:r>
        <w:rPr>
          <w:rFonts w:hint="eastAsia"/>
        </w:rPr>
        <w:t xml:space="preserve"> ratio was calculated in Demo 1 which is 80%. As the figure </w:t>
      </w:r>
      <w:r>
        <w:t>is shown</w:t>
      </w:r>
      <w:r>
        <w:rPr>
          <w:rFonts w:hint="eastAsia"/>
        </w:rPr>
        <w:t xml:space="preserve"> below, the Gilbert model is working as expected. </w:t>
      </w:r>
    </w:p>
    <w:p w14:paraId="75F286BA" w14:textId="3AE5110D" w:rsidR="00B91110" w:rsidRDefault="00B91110" w:rsidP="003B7B2C">
      <w:r>
        <w:rPr>
          <w:rFonts w:ascii="Arial" w:hAnsi="Arial" w:cs="Arial"/>
          <w:b/>
          <w:bCs/>
          <w:i/>
          <w:iCs/>
          <w:noProof/>
          <w:color w:val="000000"/>
          <w:sz w:val="34"/>
          <w:szCs w:val="34"/>
          <w:bdr w:val="none" w:sz="0" w:space="0" w:color="auto" w:frame="1"/>
        </w:rPr>
        <w:drawing>
          <wp:inline distT="0" distB="0" distL="0" distR="0" wp14:anchorId="3F00C652" wp14:editId="34E5C21D">
            <wp:extent cx="5274310" cy="446405"/>
            <wp:effectExtent l="0" t="0" r="2540" b="0"/>
            <wp:docPr id="197360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082F0" w14:textId="6FFE42E0" w:rsidR="00B91110" w:rsidRPr="003B7B2C" w:rsidRDefault="00B91110" w:rsidP="003B7B2C">
      <w:pPr>
        <w:rPr>
          <w:rFonts w:hint="eastAsia"/>
        </w:rPr>
      </w:pPr>
      <w:r>
        <w:rPr>
          <w:rFonts w:hint="eastAsia"/>
        </w:rPr>
        <w:t xml:space="preserve">For the AWGN channel, there is no directing method to test AWGN, due to the look up table is stored in memory. Therefore, a few number of output is picked from look up table inside the </w:t>
      </w:r>
      <w:proofErr w:type="spellStart"/>
      <w:r>
        <w:rPr>
          <w:rFonts w:hint="eastAsia"/>
        </w:rPr>
        <w:t>mif</w:t>
      </w:r>
      <w:proofErr w:type="spellEnd"/>
      <w:r>
        <w:rPr>
          <w:rFonts w:hint="eastAsia"/>
        </w:rPr>
        <w:t xml:space="preserve"> file, and we implemented in our system. It did influence the signal. </w:t>
      </w:r>
    </w:p>
    <w:sectPr w:rsidR="00B91110" w:rsidRPr="003B7B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DC66A" w14:textId="77777777" w:rsidR="00EA4424" w:rsidRDefault="00EA4424" w:rsidP="003B7B2C">
      <w:r>
        <w:separator/>
      </w:r>
    </w:p>
  </w:endnote>
  <w:endnote w:type="continuationSeparator" w:id="0">
    <w:p w14:paraId="36D43173" w14:textId="77777777" w:rsidR="00EA4424" w:rsidRDefault="00EA4424" w:rsidP="003B7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9909FF" w14:textId="77777777" w:rsidR="00EA4424" w:rsidRDefault="00EA4424" w:rsidP="003B7B2C">
      <w:r>
        <w:separator/>
      </w:r>
    </w:p>
  </w:footnote>
  <w:footnote w:type="continuationSeparator" w:id="0">
    <w:p w14:paraId="429686F2" w14:textId="77777777" w:rsidR="00EA4424" w:rsidRDefault="00EA4424" w:rsidP="003B7B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8A5"/>
    <w:rsid w:val="002A74B3"/>
    <w:rsid w:val="003B7B2C"/>
    <w:rsid w:val="004801C3"/>
    <w:rsid w:val="00677A51"/>
    <w:rsid w:val="007638A5"/>
    <w:rsid w:val="00B62081"/>
    <w:rsid w:val="00B91110"/>
    <w:rsid w:val="00E72F82"/>
    <w:rsid w:val="00EA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EB5E5"/>
  <w15:chartTrackingRefBased/>
  <w15:docId w15:val="{0AB17021-9A9F-4B46-BD0E-3396C4B2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638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8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8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8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8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8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8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8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8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8A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8A5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8A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8A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8A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8A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638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8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8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8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B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B7B2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B7B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B7B2C"/>
    <w:rPr>
      <w:sz w:val="18"/>
      <w:szCs w:val="18"/>
    </w:rPr>
  </w:style>
  <w:style w:type="paragraph" w:styleId="Revision">
    <w:name w:val="Revision"/>
    <w:hidden/>
    <w:uiPriority w:val="99"/>
    <w:semiHidden/>
    <w:rsid w:val="003B7B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142</Words>
  <Characters>639</Characters>
  <Application>Microsoft Office Word</Application>
  <DocSecurity>0</DocSecurity>
  <Lines>13</Lines>
  <Paragraphs>4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levi56@student.ubc.ca</dc:creator>
  <cp:keywords/>
  <dc:description/>
  <cp:lastModifiedBy>levi56@student.ubc.ca</cp:lastModifiedBy>
  <cp:revision>3</cp:revision>
  <dcterms:created xsi:type="dcterms:W3CDTF">2024-06-20T14:30:00Z</dcterms:created>
  <dcterms:modified xsi:type="dcterms:W3CDTF">2024-06-20T14:42:00Z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12ef8216315111ffe66f15d50b040d69f98d6cf267b79a887baa3483c38493bc</vt:lpwstr>
  </property>
</Properties>
</file>