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F9A" w:rsidRPr="00AF57E0" w:rsidRDefault="00B362F6" w:rsidP="000E5FC4">
      <w:pPr>
        <w:pStyle w:val="Title"/>
        <w:jc w:val="center"/>
        <w:rPr>
          <w:rFonts w:ascii="Times New Roman" w:hAnsi="Times New Roman" w:cs="Times New Roman"/>
          <w:color w:val="auto"/>
          <w:sz w:val="28"/>
          <w:szCs w:val="28"/>
        </w:rPr>
      </w:pPr>
      <w:r w:rsidRPr="00AF57E0">
        <w:rPr>
          <w:rFonts w:ascii="Times New Roman" w:hAnsi="Times New Roman" w:cs="Times New Roman"/>
          <w:color w:val="auto"/>
          <w:sz w:val="28"/>
          <w:szCs w:val="28"/>
        </w:rPr>
        <w:t>B. Tech.</w:t>
      </w:r>
      <w:r w:rsidR="001F4042" w:rsidRPr="00AF57E0">
        <w:rPr>
          <w:rFonts w:ascii="Times New Roman" w:hAnsi="Times New Roman" w:cs="Times New Roman"/>
          <w:color w:val="auto"/>
          <w:sz w:val="28"/>
          <w:szCs w:val="28"/>
        </w:rPr>
        <w:t xml:space="preserve"> PROJECT REPORT (Mid-Semester Evaluation)</w:t>
      </w:r>
    </w:p>
    <w:p w:rsidR="001F4042" w:rsidRDefault="001F4042" w:rsidP="000E5FC4">
      <w:pPr>
        <w:spacing w:after="0" w:line="240" w:lineRule="auto"/>
        <w:jc w:val="center"/>
        <w:rPr>
          <w:rFonts w:ascii="Times New Roman" w:eastAsia="Times New Roman" w:hAnsi="Times New Roman"/>
          <w:b/>
          <w:sz w:val="24"/>
        </w:rPr>
      </w:pPr>
    </w:p>
    <w:p w:rsidR="001F4042" w:rsidRDefault="001F4042" w:rsidP="000E5FC4">
      <w:pPr>
        <w:spacing w:after="0" w:line="240" w:lineRule="auto"/>
        <w:jc w:val="center"/>
        <w:rPr>
          <w:rFonts w:ascii="Times New Roman" w:eastAsia="Times New Roman" w:hAnsi="Times New Roman"/>
          <w:b/>
          <w:sz w:val="24"/>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EXPLAINABLE DEEP LEARNING FRAMEWORK FOR AUTOMATED ECG ARRHYTHMIA DETECTION AND CLASSIFICATION</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Submitted by:</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Pr>
          <w:rFonts w:ascii="Times New Roman" w:hAnsi="Times New Roman" w:cs="Times New Roman"/>
          <w:b/>
          <w:sz w:val="28"/>
        </w:rPr>
        <w:t>SIDHESH MAHESH TAVARE (2314037)</w:t>
        <w:br/>
      </w:r>
      <w:r>
        <w:rPr>
          <w:rFonts w:ascii="Times New Roman" w:hAnsi="Times New Roman" w:cs="Times New Roman"/>
          <w:b/>
          <w:sz w:val="28"/>
        </w:rPr>
        <w:t>NIKHIL KUMAR SINGH (2314055)</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Pr>
          <w:rFonts w:ascii="Times New Roman" w:hAnsi="Times New Roman" w:cs="Times New Roman"/>
          <w:b/>
          <w:sz w:val="28"/>
        </w:rPr>
        <w:t>DR. ARNAB NANDI</w:t>
      </w:r>
    </w:p>
    <w:p w:rsidR="000E5FC4" w:rsidRPr="00AF57E0" w:rsidRDefault="000E5FC4" w:rsidP="000E5FC4">
      <w:pPr>
        <w:spacing w:after="0" w:line="240" w:lineRule="auto"/>
        <w:jc w:val="center"/>
        <w:rPr>
          <w:rFonts w:ascii="Times New Roman" w:eastAsia="Times New Roman" w:hAnsi="Times New Roman"/>
          <w:b/>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p>
    <w:p w:rsidR="001F4042" w:rsidRPr="00AF57E0" w:rsidRDefault="001F4042" w:rsidP="000E5FC4">
      <w:pPr>
        <w:spacing w:after="0" w:line="240" w:lineRule="auto"/>
        <w:jc w:val="center"/>
        <w:rPr>
          <w:rFonts w:ascii="Times New Roman" w:eastAsia="Times New Roman" w:hAnsi="Times New Roman"/>
          <w:b/>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SUPERVISOR</w:t>
      </w:r>
      <w:r w:rsidR="00AF57E0">
        <w:rPr>
          <w:rFonts w:ascii="Times New Roman" w:eastAsia="Times New Roman" w:hAnsi="Times New Roman"/>
          <w:b/>
          <w:sz w:val="28"/>
          <w:szCs w:val="28"/>
        </w:rPr>
        <w:t>’S</w:t>
      </w:r>
      <w:r w:rsidRPr="00AF57E0">
        <w:rPr>
          <w:rFonts w:ascii="Times New Roman" w:eastAsia="Times New Roman" w:hAnsi="Times New Roman"/>
          <w:b/>
          <w:sz w:val="28"/>
          <w:szCs w:val="28"/>
        </w:rPr>
        <w:t xml:space="preserve"> SIGNATURE</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DEPARTMENT OF ELECTRONICS AND COMMUNICATION ENGINEERING</w:t>
      </w:r>
    </w:p>
    <w:p w:rsidR="000E5FC4" w:rsidRPr="00AF57E0" w:rsidRDefault="000E5FC4" w:rsidP="000E5FC4">
      <w:pPr>
        <w:spacing w:after="0" w:line="240" w:lineRule="auto"/>
        <w:jc w:val="center"/>
        <w:rPr>
          <w:rFonts w:ascii="Times New Roman" w:eastAsia="Times New Roman" w:hAnsi="Times New Roman"/>
          <w:sz w:val="28"/>
          <w:szCs w:val="28"/>
        </w:rPr>
      </w:pPr>
    </w:p>
    <w:p w:rsidR="00AD6F9A"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NATIONAL INSTITUTE OF TECHNOLOGY SILCHAR, ASSAM (INDIA)-788010</w:t>
      </w:r>
    </w:p>
    <w:p w:rsidR="000E5FC4" w:rsidRPr="00AF57E0" w:rsidRDefault="000E5FC4" w:rsidP="000E5FC4">
      <w:pPr>
        <w:spacing w:after="0" w:line="240" w:lineRule="auto"/>
        <w:jc w:val="center"/>
        <w:rPr>
          <w:rFonts w:ascii="Times New Roman" w:eastAsia="Times New Roman" w:hAnsi="Times New Roman"/>
          <w:b/>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p>
    <w:p w:rsidR="000E5FC4" w:rsidRDefault="000E5FC4" w:rsidP="000E5FC4">
      <w:pPr>
        <w:spacing w:after="0" w:line="240" w:lineRule="auto"/>
        <w:jc w:val="center"/>
        <w:rPr>
          <w:rFonts w:ascii="Times New Roman" w:eastAsia="Times New Roman" w:hAnsi="Times New Roman"/>
          <w:b/>
        </w:rPr>
      </w:pPr>
    </w:p>
    <w:p w:rsidR="000E5FC4" w:rsidRDefault="000E5FC4" w:rsidP="000E5FC4">
      <w:pPr>
        <w:spacing w:after="0" w:line="240" w:lineRule="auto"/>
        <w:jc w:val="center"/>
        <w:rPr>
          <w:rFonts w:ascii="Times New Roman" w:eastAsia="Times New Roman" w:hAnsi="Times New Roman"/>
          <w:b/>
        </w:rPr>
      </w:pPr>
    </w:p>
    <w:p w:rsidR="000E5FC4" w:rsidRDefault="000E5FC4" w:rsidP="000E5FC4">
      <w:pPr>
        <w:spacing w:after="0" w:line="240" w:lineRule="auto"/>
        <w:jc w:val="center"/>
        <w:rPr>
          <w:rFonts w:ascii="Times New Roman" w:eastAsia="Times New Roman" w:hAnsi="Times New Roman"/>
          <w:b/>
        </w:rPr>
      </w:pPr>
    </w:p>
    <w:p w:rsidR="000E5FC4" w:rsidRDefault="000E5FC4" w:rsidP="000E5FC4">
      <w:pPr>
        <w:spacing w:after="0" w:line="240" w:lineRule="auto"/>
        <w:jc w:val="center"/>
        <w:rPr>
          <w:rFonts w:ascii="Times New Roman" w:eastAsia="Times New Roman" w:hAnsi="Times New Roman"/>
          <w:b/>
        </w:rPr>
      </w:pPr>
    </w:p>
    <w:p w:rsidR="000E5FC4" w:rsidRDefault="000E5FC4" w:rsidP="000E5FC4">
      <w:pPr>
        <w:spacing w:after="0" w:line="240" w:lineRule="auto"/>
        <w:jc w:val="center"/>
        <w:rPr>
          <w:rFonts w:ascii="Times New Roman" w:eastAsia="Times New Roman" w:hAnsi="Times New Roman"/>
          <w:b/>
        </w:rPr>
      </w:pPr>
    </w:p>
    <w:p w:rsidR="000E5FC4" w:rsidRDefault="000E5FC4" w:rsidP="000E5FC4">
      <w:pPr>
        <w:spacing w:after="0" w:line="240" w:lineRule="auto"/>
        <w:jc w:val="center"/>
        <w:rPr>
          <w:rFonts w:ascii="Times New Roman" w:eastAsia="Times New Roman" w:hAnsi="Times New Roman"/>
          <w:b/>
        </w:rPr>
      </w:pPr>
    </w:p>
    <w:p w:rsidR="000E5FC4" w:rsidRDefault="000E5FC4" w:rsidP="000E5FC4">
      <w:pPr>
        <w:spacing w:after="0" w:line="240" w:lineRule="auto"/>
        <w:jc w:val="center"/>
        <w:rPr>
          <w:rFonts w:ascii="Times New Roman" w:eastAsia="Times New Roman" w:hAnsi="Times New Roman"/>
          <w:b/>
        </w:rPr>
      </w:pPr>
    </w:p>
    <w:p w:rsidR="000E5FC4" w:rsidRDefault="000E5FC4" w:rsidP="000E5FC4">
      <w:pPr>
        <w:spacing w:after="0" w:line="240" w:lineRule="auto"/>
        <w:jc w:val="center"/>
        <w:rPr>
          <w:rFonts w:ascii="Times New Roman" w:eastAsia="Times New Roman" w:hAnsi="Times New Roman"/>
          <w:b/>
        </w:rPr>
      </w:pP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Abstract</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Deep learning models for automated electrocardiogram (ECG) arrhythmia classification frequently report accuracies above 98%, yet published evidence shows that these figures fall considerably when models are evaluated on patients not seen during training, on external databases, or on noisy signals, and that the explanations attached to such models are rarely validated against clinical ECG knowledge [1], [2], [3]. This project aims to develop an explainable deep learning framework for automated ECG arrhythmia detection and classification that addresses these issues together.</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project has three objectives: (i) to develop a hybrid deep learning classifier evaluated under a strict inter-patient protocol on the MIT-BIH Arrhythmia Database with external testing on a second database; (ii) to apply and evaluate at least two post-hoc explainable AI (XAI) methods, such as SHAP and Grad-CAM, by measuring the consistency of explanations and their agreement with recognised ECG features; and (iii) to assess how classification performance and explanation stability degrade under realistic noise from the MIT-BIH Noise Stress Test Database, using uncertainty estimates to flag unreliable predictions.</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expected outcomes are a patient-independent arrhythmia classifier with per-class and macro-averaged results, a quantitative evaluation of explanation quality, and a robustness analysis of both predictions and explanations under noise.</w:t>
      </w:r>
    </w:p>
    <w:p>
      <w:pPr>
        <w:jc w:val="both"/>
      </w:pPr>
      <w:r>
        <w:rPr>
          <w:rFonts w:ascii="Times New Roman" w:hAnsi="Times New Roman" w:cs="Times New Roman"/>
          <w:sz w:val="24"/>
        </w:rPr>
        <w:t>Up to the mid-semester evaluation, a working training, evaluation and Grad-CAM pipeline has been built and tested on the pre-segmented MIT-BIH heartbeat dataset of Kachuee et al. [35] (five AAMI classes, intra-patient split). A baseline 1D convolutional neural network reached 94.41% accuracy but only 76.29% macro F1, because of very low precision on the rare Fusion (26.0%) and supraventricular (55.9%) classes. Five step-by-step changes were then tested; selecting the epoch on validation macro F1, using softer (square-root) class weights and a residual network gave the largest gains, and the final model reached 98.41% accuracy and 91.10% macro F1 on the same 21,892-beat test set. Grad-CAM heatmaps were produced for every class. These results are intra-patient and are therefore treated as a development baseline for the patient-independent framework.</w:t>
      </w: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Default="00B362F6">
      <w:pPr>
        <w:rPr>
          <w:rFonts w:ascii="Times New Roman" w:hAnsi="Times New Roman" w:cs="Times New Roman"/>
          <w:sz w:val="24"/>
          <w:szCs w:val="24"/>
        </w:rPr>
      </w:pPr>
    </w:p>
    <w:p w:rsidR="00AF57E0" w:rsidRPr="000E5FC4" w:rsidRDefault="00AF57E0">
      <w:pPr>
        <w:rPr>
          <w:rFonts w:ascii="Times New Roman" w:hAnsi="Times New Roman" w:cs="Times New Roman"/>
          <w:sz w:val="24"/>
          <w:szCs w:val="24"/>
        </w:rPr>
      </w:pPr>
      <w:bookmarkStart w:id="0" w:name="_GoBack"/>
      <w:bookmarkEnd w:id="0"/>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t>Introduction</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Background and Motivation</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ECG is a widely used non-invasive tool for detecting cardiac arrhythmias, and automating its interpretation is an active research area. Deep learning has therefore been widely applied to automated arrhythmia classification: convolutional neural networks (CNNs) are used in 58.7% of 368 studies reviewed by Xiao et al. [1] and in 62% of 119 studies reviewed by Kulkarni et al. [2], with hybrid CNN-recurrent and Transformer-based models increasingly common [1], [2].</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Significance of the Problem</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Three issues limit the clinical usefulness of current models. First, reported performance depends heavily on the evaluation protocol: in studies reporting both paradigms, F1 fell from 95.52% under intra-patient evaluation to 83.89% under inter-patient evaluation [1], and only 30.3% of 122 reviewed articles followed the inter-patient paradigm [4]. Second, deep models are often regarded as black boxes, and although SHAP and saliency methods are increasingly used, fewer than 10% of studies validated explanation maps against clinically meaningful ECG structures [2]. Third, robustness to realistic noise is tested narrowly, often with additive white Gaussian noise only [5].</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Problem Statement</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There is a need for an ECG arrhythmia classification framework whose performance is measured on unseen patients, whose explanations are checked for consistency and clinical plausibility, and whose predictions and explanations are evaluated for robustness under realistic noise.</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Objectives</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Objective 1 – Patient-independent baseline: develop a hybrid deep learning arrhythmia classifier evaluated under a strict inter-patient protocol (MIT-BIH DS1/DS2) with external testing on a second database, reporting per-class and macro F1 alongside accuracy.</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Objective 2 – Validated explanations: apply at least two post-hoc XAI methods (e.g. SHAP and Grad-CAM) to the patient-independent model and measure the within-class consistency of explanations and their agreement with recognised ECG features (P wave, QRS complex, RR interval).</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Objective 3 – Robustness of predictions and explanations: assess how classification performance and explanation stability degrade under realistic NSTDB noise (baseline wander, muscle artefact, electrode motion) at graded SNRs, using uncertainty estimates to flag unreliable predictions.</w:t>
      </w:r>
    </w:p>
    <w:p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Literature Review</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A literature survey of 36 papers (5 reviews and 31 original studies) on deep learning and explainable AI for ECG arrhythmia classification was carried out. The findings are grouped into four themes below.</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Architectures</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CNNs remain the dominant architecture for ECG arrhythmia classification [6], [7], [1], [2], but hybrid designs pairing a convolutional front end for morphology with a recurrent or attention module for temporal context are increasingly common, including CNN-LSTM [8], [9], [10], CNN-BiLSTM [11], [12], multi-scale CNN-BiLSTM [13] and dual-branch BiLSTM/capsule fusion [5]. Transformers are the newest development, including bidirectional Transformers [14], [15], CNN-BERT hybrids [16], Stockwell-transform CNN-Transformers [17] and LLM-assisted models using patient age and sex [18]. Meta-regression attributes a gain of 0.845% to attention/Transformer models over 1D-CNNs, at increased cost beyond about 1 M parameters [2]. Lightweight designs remain competitive: a 0.16 MB CNN-LSTM ran at 5.127 ms per rhythm on a Raspberry Pi [8], and a 165,061-parameter spatio-temporal CNN reached a macro AUC of 93.41% on PTB-XL [19]. Graph networks [20] and interpretable handcrafted features with XGBoost [21] offer alternatives.</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Explainable AI Methods</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SHAP is the most widely used explanation method in the surveyed papers [8], [3], [21], [22], [23], [24], [19], followed by Grad-CAM [25], [18] and class activation maps [17]. Generative counterfactual ECGs captured rhythm irregularity and beat-to-beat variability that saliency maps missed [26]. Several studies report clinically plausible explanations, such as absent P waves and wide QRS complexes [8], slurred S waves for RBBB [19] and the PR interval for first-degree AV block [21]. However, Beck and John found that explanations for APB and PVC beats were inconsistent within a class and had not been validated by medical professionals, and they removed the LSTM from their model because it hampered the XAI methods; all five clinicians surveyed preferred saliency maps over counterfactuals [3]. Fewer than 10% of studies validated explanation maps against clinically meaningful ECG structures [2].</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Datasets and Evaluation</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MIT-BIH Arrhythmia Database dominates the field, used in 61% [1] and 78.7% [4] of reviewed studies, while PTB-XL is the main 12-lead benchmark [18], [27], [19], [28]. Evaluation protocol strongly affects reported results: F1 fell from 95.52% (intra-patient) to 83.89% (inter-patient) in studies reporting both [1], and a single study reported 99.00% accuracy on a beat-wise split but 91.69% on a patient-wise split, with Fusion recall of only 0.021 [11]. Only 4.1% of 122 reviewed articles met all of the AAMI, inter-patient, MIT-BIH and embedded-feasibility criteria [4]. External validation was performed in only 18.5% of studies, with a mean accuracy drop of 8.7% [2]; performance was about 16% lower on external data in [21] and more than 20% lower when a second dataset was added in [3]. Adversarial suppression of patient-specific features improved inter-patient AFib F1 from 61.0% to 77.9% [29].</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Robustness</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Robustness testing is uneven. Hassoon et al. tested only additive white Gaussian noise, with F1 falling to 32.46% at 5 dB [5]; Tenepalli and Navamani did not test under noise [25]; and Huang et al. state that performance on wearable signals with motion artefacts has not been verified [15]. Ashhad et al. showed that Dempster-Shafer uncertainty-aware fusion was more robust than score- or feature-level fusion under NSTDB baseline wander, muscle artefact and electrode motion noise from 15 to 0 dB [30]. Denoising front ends include wavelet methods [12], [13], [15], adaptive LMS filtering [31] and a Jacobian-regularised denoising autoencoder not yet validated for diagnosis [32]. Rejecting high-uncertainty predictions raised macro F1 from 0.6635 to 0.8688, and cardiologists attributed most high-uncertainty cases to noise [33].</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Comparison of Key Studies</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Table 1 compares the eight surveyed papers most relevant to this project.</w:t>
      </w:r>
    </w:p>
    <w:p w:rsidR="00AD6F9A" w:rsidRPr="000E5FC4" w:rsidRDefault="001F4042">
      <w:pPr>
        <w:spacing w:before="120"/>
        <w:jc w:val="center"/>
        <w:rPr>
          <w:rFonts w:ascii="Times New Roman" w:hAnsi="Times New Roman" w:cs="Times New Roman"/>
          <w:sz w:val="24"/>
          <w:szCs w:val="24"/>
        </w:rPr>
      </w:pPr>
      <w:r>
        <w:rPr>
          <w:rFonts w:ascii="Times New Roman" w:hAnsi="Times New Roman" w:cs="Times New Roman"/>
          <w:b/>
          <w:sz w:val="24"/>
        </w:rPr>
        <w:t>Table 1: Comparison of the eight most relevant surveyed studies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tcPr>
          <w:p>
            <w:pPr>
              <w:spacing w:after="0"/>
            </w:pPr>
            <w:r>
              <w:rPr>
                <w:rFonts w:ascii="Times New Roman" w:hAnsi="Times New Roman" w:cs="Times New Roman"/>
                <w:b/>
                <w:sz w:val="20"/>
              </w:rPr>
              <w:t>Ref.</w:t>
            </w:r>
          </w:p>
        </w:tc>
        <w:tc>
          <w:tcPr>
            <w:tcW w:type="dxa" w:w="1800"/>
          </w:tcPr>
          <w:p>
            <w:pPr>
              <w:spacing w:after="0"/>
            </w:pPr>
            <w:r>
              <w:rPr>
                <w:rFonts w:ascii="Times New Roman" w:hAnsi="Times New Roman" w:cs="Times New Roman"/>
                <w:b/>
                <w:sz w:val="20"/>
              </w:rPr>
              <w:t>Dataset(s)</w:t>
            </w:r>
          </w:p>
        </w:tc>
        <w:tc>
          <w:tcPr>
            <w:tcW w:type="dxa" w:w="1728"/>
          </w:tcPr>
          <w:p>
            <w:pPr>
              <w:spacing w:after="0"/>
            </w:pPr>
            <w:r>
              <w:rPr>
                <w:rFonts w:ascii="Times New Roman" w:hAnsi="Times New Roman" w:cs="Times New Roman"/>
                <w:b/>
                <w:sz w:val="20"/>
              </w:rPr>
              <w:t>Model</w:t>
            </w:r>
          </w:p>
        </w:tc>
        <w:tc>
          <w:tcPr>
            <w:tcW w:type="dxa" w:w="1368"/>
          </w:tcPr>
          <w:p>
            <w:pPr>
              <w:spacing w:after="0"/>
            </w:pPr>
            <w:r>
              <w:rPr>
                <w:rFonts w:ascii="Times New Roman" w:hAnsi="Times New Roman" w:cs="Times New Roman"/>
                <w:b/>
                <w:sz w:val="20"/>
              </w:rPr>
              <w:t>XAI</w:t>
            </w:r>
          </w:p>
        </w:tc>
        <w:tc>
          <w:tcPr>
            <w:tcW w:type="dxa" w:w="1512"/>
          </w:tcPr>
          <w:p>
            <w:pPr>
              <w:spacing w:after="0"/>
            </w:pPr>
            <w:r>
              <w:rPr>
                <w:rFonts w:ascii="Times New Roman" w:hAnsi="Times New Roman" w:cs="Times New Roman"/>
                <w:b/>
                <w:sz w:val="20"/>
              </w:rPr>
              <w:t>Split</w:t>
            </w:r>
          </w:p>
        </w:tc>
        <w:tc>
          <w:tcPr>
            <w:tcW w:type="dxa" w:w="2232"/>
          </w:tcPr>
          <w:p>
            <w:pPr>
              <w:spacing w:after="0"/>
            </w:pPr>
            <w:r>
              <w:rPr>
                <w:rFonts w:ascii="Times New Roman" w:hAnsi="Times New Roman" w:cs="Times New Roman"/>
                <w:b/>
                <w:sz w:val="20"/>
              </w:rPr>
              <w:t>Key result</w:t>
            </w:r>
          </w:p>
        </w:tc>
      </w:tr>
      <w:tr>
        <w:tc>
          <w:tcPr>
            <w:tcW w:type="dxa" w:w="720"/>
          </w:tcPr>
          <w:p>
            <w:pPr>
              <w:spacing w:after="0"/>
            </w:pPr>
            <w:r>
              <w:rPr>
                <w:rFonts w:ascii="Times New Roman" w:hAnsi="Times New Roman" w:cs="Times New Roman"/>
                <w:sz w:val="20"/>
              </w:rPr>
              <w:t>[8]</w:t>
            </w:r>
          </w:p>
        </w:tc>
        <w:tc>
          <w:tcPr>
            <w:tcW w:type="dxa" w:w="1800"/>
          </w:tcPr>
          <w:p>
            <w:pPr>
              <w:spacing w:after="0"/>
            </w:pPr>
            <w:r>
              <w:rPr>
                <w:rFonts w:ascii="Times New Roman" w:hAnsi="Times New Roman" w:cs="Times New Roman"/>
                <w:sz w:val="20"/>
              </w:rPr>
              <w:t>MIT-BIH + LTAF</w:t>
            </w:r>
          </w:p>
        </w:tc>
        <w:tc>
          <w:tcPr>
            <w:tcW w:type="dxa" w:w="1728"/>
          </w:tcPr>
          <w:p>
            <w:pPr>
              <w:spacing w:after="0"/>
            </w:pPr>
            <w:r>
              <w:rPr>
                <w:rFonts w:ascii="Times New Roman" w:hAnsi="Times New Roman" w:cs="Times New Roman"/>
                <w:sz w:val="20"/>
              </w:rPr>
              <w:t>Lightweight CNN-LSTM</w:t>
            </w:r>
          </w:p>
        </w:tc>
        <w:tc>
          <w:tcPr>
            <w:tcW w:type="dxa" w:w="1368"/>
          </w:tcPr>
          <w:p>
            <w:pPr>
              <w:spacing w:after="0"/>
            </w:pPr>
            <w:r>
              <w:rPr>
                <w:rFonts w:ascii="Times New Roman" w:hAnsi="Times New Roman" w:cs="Times New Roman"/>
                <w:sz w:val="20"/>
              </w:rPr>
              <w:t>SHAP</w:t>
            </w:r>
          </w:p>
        </w:tc>
        <w:tc>
          <w:tcPr>
            <w:tcW w:type="dxa" w:w="1512"/>
          </w:tcPr>
          <w:p>
            <w:pPr>
              <w:spacing w:after="0"/>
            </w:pPr>
            <w:r>
              <w:rPr>
                <w:rFonts w:ascii="Times New Roman" w:hAnsi="Times New Roman" w:cs="Times New Roman"/>
                <w:sz w:val="20"/>
              </w:rPr>
              <w:t>Not stated (85/15)</w:t>
            </w:r>
          </w:p>
        </w:tc>
        <w:tc>
          <w:tcPr>
            <w:tcW w:type="dxa" w:w="2232"/>
          </w:tcPr>
          <w:p>
            <w:pPr>
              <w:spacing w:after="0"/>
            </w:pPr>
            <w:r>
              <w:rPr>
                <w:rFonts w:ascii="Times New Roman" w:hAnsi="Times New Roman" w:cs="Times New Roman"/>
                <w:sz w:val="20"/>
              </w:rPr>
              <w:t>Acc 98.24%, Se 86.1%; 0.16 MB</w:t>
            </w:r>
          </w:p>
        </w:tc>
      </w:tr>
      <w:tr>
        <w:tc>
          <w:tcPr>
            <w:tcW w:type="dxa" w:w="720"/>
          </w:tcPr>
          <w:p>
            <w:pPr>
              <w:spacing w:after="0"/>
            </w:pPr>
            <w:r>
              <w:rPr>
                <w:rFonts w:ascii="Times New Roman" w:hAnsi="Times New Roman" w:cs="Times New Roman"/>
                <w:sz w:val="20"/>
              </w:rPr>
              <w:t>[3]</w:t>
            </w:r>
          </w:p>
        </w:tc>
        <w:tc>
          <w:tcPr>
            <w:tcW w:type="dxa" w:w="1800"/>
          </w:tcPr>
          <w:p>
            <w:pPr>
              <w:spacing w:after="0"/>
            </w:pPr>
            <w:r>
              <w:rPr>
                <w:rFonts w:ascii="Times New Roman" w:hAnsi="Times New Roman" w:cs="Times New Roman"/>
                <w:sz w:val="20"/>
              </w:rPr>
              <w:t>MIT-BIH + 12-lead (Zheng et al.)</w:t>
            </w:r>
          </w:p>
        </w:tc>
        <w:tc>
          <w:tcPr>
            <w:tcW w:type="dxa" w:w="1728"/>
          </w:tcPr>
          <w:p>
            <w:pPr>
              <w:spacing w:after="0"/>
            </w:pPr>
            <w:r>
              <w:rPr>
                <w:rFonts w:ascii="Times New Roman" w:hAnsi="Times New Roman" w:cs="Times New Roman"/>
                <w:sz w:val="20"/>
              </w:rPr>
              <w:t>1D CNN</w:t>
            </w:r>
          </w:p>
        </w:tc>
        <w:tc>
          <w:tcPr>
            <w:tcW w:type="dxa" w:w="1368"/>
          </w:tcPr>
          <w:p>
            <w:pPr>
              <w:spacing w:after="0"/>
            </w:pPr>
            <w:r>
              <w:rPr>
                <w:rFonts w:ascii="Times New Roman" w:hAnsi="Times New Roman" w:cs="Times New Roman"/>
                <w:sz w:val="20"/>
              </w:rPr>
              <w:t>4 SHAP variants</w:t>
            </w:r>
          </w:p>
        </w:tc>
        <w:tc>
          <w:tcPr>
            <w:tcW w:type="dxa" w:w="1512"/>
          </w:tcPr>
          <w:p>
            <w:pPr>
              <w:spacing w:after="0"/>
            </w:pPr>
            <w:r>
              <w:rPr>
                <w:rFonts w:ascii="Times New Roman" w:hAnsi="Times New Roman" w:cs="Times New Roman"/>
                <w:sz w:val="20"/>
              </w:rPr>
              <w:t>Not stated (80/20)</w:t>
            </w:r>
          </w:p>
        </w:tc>
        <w:tc>
          <w:tcPr>
            <w:tcW w:type="dxa" w:w="2232"/>
          </w:tcPr>
          <w:p>
            <w:pPr>
              <w:spacing w:after="0"/>
            </w:pPr>
            <w:r>
              <w:rPr>
                <w:rFonts w:ascii="Times New Roman" w:hAnsi="Times New Roman" w:cs="Times New Roman"/>
                <w:sz w:val="20"/>
              </w:rPr>
              <w:t>Val acc 98.30%; 73.45% on combined data</w:t>
            </w:r>
          </w:p>
        </w:tc>
      </w:tr>
      <w:tr>
        <w:tc>
          <w:tcPr>
            <w:tcW w:type="dxa" w:w="720"/>
          </w:tcPr>
          <w:p>
            <w:pPr>
              <w:spacing w:after="0"/>
            </w:pPr>
            <w:r>
              <w:rPr>
                <w:rFonts w:ascii="Times New Roman" w:hAnsi="Times New Roman" w:cs="Times New Roman"/>
                <w:sz w:val="20"/>
              </w:rPr>
              <w:t>[21]</w:t>
            </w:r>
          </w:p>
        </w:tc>
        <w:tc>
          <w:tcPr>
            <w:tcW w:type="dxa" w:w="1800"/>
          </w:tcPr>
          <w:p>
            <w:pPr>
              <w:spacing w:after="0"/>
            </w:pPr>
            <w:r>
              <w:rPr>
                <w:rFonts w:ascii="Times New Roman" w:hAnsi="Times New Roman" w:cs="Times New Roman"/>
                <w:sz w:val="20"/>
              </w:rPr>
              <w:t>CPSC 2018; external PTB-XL, G12EC</w:t>
            </w:r>
          </w:p>
        </w:tc>
        <w:tc>
          <w:tcPr>
            <w:tcW w:type="dxa" w:w="1728"/>
          </w:tcPr>
          <w:p>
            <w:pPr>
              <w:spacing w:after="0"/>
            </w:pPr>
            <w:r>
              <w:rPr>
                <w:rFonts w:ascii="Times New Roman" w:hAnsi="Times New Roman" w:cs="Times New Roman"/>
                <w:sz w:val="20"/>
              </w:rPr>
              <w:t>Features + XGBoost</w:t>
            </w:r>
          </w:p>
        </w:tc>
        <w:tc>
          <w:tcPr>
            <w:tcW w:type="dxa" w:w="1368"/>
          </w:tcPr>
          <w:p>
            <w:pPr>
              <w:spacing w:after="0"/>
            </w:pPr>
            <w:r>
              <w:rPr>
                <w:rFonts w:ascii="Times New Roman" w:hAnsi="Times New Roman" w:cs="Times New Roman"/>
                <w:sz w:val="20"/>
              </w:rPr>
              <w:t>SHAP</w:t>
            </w:r>
          </w:p>
        </w:tc>
        <w:tc>
          <w:tcPr>
            <w:tcW w:type="dxa" w:w="1512"/>
          </w:tcPr>
          <w:p>
            <w:pPr>
              <w:spacing w:after="0"/>
            </w:pPr>
            <w:r>
              <w:rPr>
                <w:rFonts w:ascii="Times New Roman" w:hAnsi="Times New Roman" w:cs="Times New Roman"/>
                <w:sz w:val="20"/>
              </w:rPr>
              <w:t>10-fold CV + external</w:t>
            </w:r>
          </w:p>
        </w:tc>
        <w:tc>
          <w:tcPr>
            <w:tcW w:type="dxa" w:w="2232"/>
          </w:tcPr>
          <w:p>
            <w:pPr>
              <w:spacing w:after="0"/>
            </w:pPr>
            <w:r>
              <w:rPr>
                <w:rFonts w:ascii="Times New Roman" w:hAnsi="Times New Roman" w:cs="Times New Roman"/>
                <w:sz w:val="20"/>
              </w:rPr>
              <w:t>External macro F1 0.65 vs 0.16 (CNN)</w:t>
            </w:r>
          </w:p>
        </w:tc>
      </w:tr>
      <w:tr>
        <w:tc>
          <w:tcPr>
            <w:tcW w:type="dxa" w:w="720"/>
          </w:tcPr>
          <w:p>
            <w:pPr>
              <w:spacing w:after="0"/>
            </w:pPr>
            <w:r>
              <w:rPr>
                <w:rFonts w:ascii="Times New Roman" w:hAnsi="Times New Roman" w:cs="Times New Roman"/>
                <w:sz w:val="20"/>
              </w:rPr>
              <w:t>[29]</w:t>
            </w:r>
          </w:p>
        </w:tc>
        <w:tc>
          <w:tcPr>
            <w:tcW w:type="dxa" w:w="1800"/>
          </w:tcPr>
          <w:p>
            <w:pPr>
              <w:spacing w:after="0"/>
            </w:pPr>
            <w:r>
              <w:rPr>
                <w:rFonts w:ascii="Times New Roman" w:hAnsi="Times New Roman" w:cs="Times New Roman"/>
                <w:sz w:val="20"/>
              </w:rPr>
              <w:t>MIT-BIH; Chapman-Shaoxing</w:t>
            </w:r>
          </w:p>
        </w:tc>
        <w:tc>
          <w:tcPr>
            <w:tcW w:type="dxa" w:w="1728"/>
          </w:tcPr>
          <w:p>
            <w:pPr>
              <w:spacing w:after="0"/>
            </w:pPr>
            <w:r>
              <w:rPr>
                <w:rFonts w:ascii="Times New Roman" w:hAnsi="Times New Roman" w:cs="Times New Roman"/>
                <w:sz w:val="20"/>
              </w:rPr>
              <w:t>Adversarial SE-ResNet</w:t>
            </w:r>
          </w:p>
        </w:tc>
        <w:tc>
          <w:tcPr>
            <w:tcW w:type="dxa" w:w="1368"/>
          </w:tcPr>
          <w:p>
            <w:pPr>
              <w:spacing w:after="0"/>
            </w:pPr>
            <w:r>
              <w:rPr>
                <w:rFonts w:ascii="Times New Roman" w:hAnsi="Times New Roman" w:cs="Times New Roman"/>
                <w:sz w:val="20"/>
              </w:rPr>
              <w:t>Not stated</w:t>
            </w:r>
          </w:p>
        </w:tc>
        <w:tc>
          <w:tcPr>
            <w:tcW w:type="dxa" w:w="1512"/>
          </w:tcPr>
          <w:p>
            <w:pPr>
              <w:spacing w:after="0"/>
            </w:pPr>
            <w:r>
              <w:rPr>
                <w:rFonts w:ascii="Times New Roman" w:hAnsi="Times New Roman" w:cs="Times New Roman"/>
                <w:sz w:val="20"/>
              </w:rPr>
              <w:t>Inter-patient</w:t>
            </w:r>
          </w:p>
        </w:tc>
        <w:tc>
          <w:tcPr>
            <w:tcW w:type="dxa" w:w="2232"/>
          </w:tcPr>
          <w:p>
            <w:pPr>
              <w:spacing w:after="0"/>
            </w:pPr>
            <w:r>
              <w:rPr>
                <w:rFonts w:ascii="Times New Roman" w:hAnsi="Times New Roman" w:cs="Times New Roman"/>
                <w:sz w:val="20"/>
              </w:rPr>
              <w:t>AFib F1 77.9% vs 61.0%</w:t>
            </w:r>
          </w:p>
        </w:tc>
      </w:tr>
      <w:tr>
        <w:tc>
          <w:tcPr>
            <w:tcW w:type="dxa" w:w="720"/>
          </w:tcPr>
          <w:p>
            <w:pPr>
              <w:spacing w:after="0"/>
            </w:pPr>
            <w:r>
              <w:rPr>
                <w:rFonts w:ascii="Times New Roman" w:hAnsi="Times New Roman" w:cs="Times New Roman"/>
                <w:sz w:val="20"/>
              </w:rPr>
              <w:t>[5]</w:t>
            </w:r>
          </w:p>
        </w:tc>
        <w:tc>
          <w:tcPr>
            <w:tcW w:type="dxa" w:w="1800"/>
          </w:tcPr>
          <w:p>
            <w:pPr>
              <w:spacing w:after="0"/>
            </w:pPr>
            <w:r>
              <w:rPr>
                <w:rFonts w:ascii="Times New Roman" w:hAnsi="Times New Roman" w:cs="Times New Roman"/>
                <w:sz w:val="20"/>
              </w:rPr>
              <w:t>MIT-BIH; INCART, SVDB, PTB</w:t>
            </w:r>
          </w:p>
        </w:tc>
        <w:tc>
          <w:tcPr>
            <w:tcW w:type="dxa" w:w="1728"/>
          </w:tcPr>
          <w:p>
            <w:pPr>
              <w:spacing w:after="0"/>
            </w:pPr>
            <w:r>
              <w:rPr>
                <w:rFonts w:ascii="Times New Roman" w:hAnsi="Times New Roman" w:cs="Times New Roman"/>
                <w:sz w:val="20"/>
              </w:rPr>
              <w:t>CNN-BiLSTM + CapsNet fusion</w:t>
            </w:r>
          </w:p>
        </w:tc>
        <w:tc>
          <w:tcPr>
            <w:tcW w:type="dxa" w:w="1368"/>
          </w:tcPr>
          <w:p>
            <w:pPr>
              <w:spacing w:after="0"/>
            </w:pPr>
            <w:r>
              <w:rPr>
                <w:rFonts w:ascii="Times New Roman" w:hAnsi="Times New Roman" w:cs="Times New Roman"/>
                <w:sz w:val="20"/>
              </w:rPr>
              <w:t>Branch weights</w:t>
            </w:r>
          </w:p>
        </w:tc>
        <w:tc>
          <w:tcPr>
            <w:tcW w:type="dxa" w:w="1512"/>
          </w:tcPr>
          <w:p>
            <w:pPr>
              <w:spacing w:after="0"/>
            </w:pPr>
            <w:r>
              <w:rPr>
                <w:rFonts w:ascii="Times New Roman" w:hAnsi="Times New Roman" w:cs="Times New Roman"/>
                <w:sz w:val="20"/>
              </w:rPr>
              <w:t>Inter-patient</w:t>
            </w:r>
          </w:p>
        </w:tc>
        <w:tc>
          <w:tcPr>
            <w:tcW w:type="dxa" w:w="2232"/>
          </w:tcPr>
          <w:p>
            <w:pPr>
              <w:spacing w:after="0"/>
            </w:pPr>
            <w:r>
              <w:rPr>
                <w:rFonts w:ascii="Times New Roman" w:hAnsi="Times New Roman" w:cs="Times New Roman"/>
                <w:sz w:val="20"/>
              </w:rPr>
              <w:t>Acc 99.55%; F1 32.46% at 5 dB AWGN</w:t>
            </w:r>
          </w:p>
        </w:tc>
      </w:tr>
      <w:tr>
        <w:tc>
          <w:tcPr>
            <w:tcW w:type="dxa" w:w="720"/>
          </w:tcPr>
          <w:p>
            <w:pPr>
              <w:spacing w:after="0"/>
            </w:pPr>
            <w:r>
              <w:rPr>
                <w:rFonts w:ascii="Times New Roman" w:hAnsi="Times New Roman" w:cs="Times New Roman"/>
                <w:sz w:val="20"/>
              </w:rPr>
              <w:t>[11]</w:t>
            </w:r>
          </w:p>
        </w:tc>
        <w:tc>
          <w:tcPr>
            <w:tcW w:type="dxa" w:w="1800"/>
          </w:tcPr>
          <w:p>
            <w:pPr>
              <w:spacing w:after="0"/>
            </w:pPr>
            <w:r>
              <w:rPr>
                <w:rFonts w:ascii="Times New Roman" w:hAnsi="Times New Roman" w:cs="Times New Roman"/>
                <w:sz w:val="20"/>
              </w:rPr>
              <w:t>MIT-BIH</w:t>
            </w:r>
          </w:p>
        </w:tc>
        <w:tc>
          <w:tcPr>
            <w:tcW w:type="dxa" w:w="1728"/>
          </w:tcPr>
          <w:p>
            <w:pPr>
              <w:spacing w:after="0"/>
            </w:pPr>
            <w:r>
              <w:rPr>
                <w:rFonts w:ascii="Times New Roman" w:hAnsi="Times New Roman" w:cs="Times New Roman"/>
                <w:sz w:val="20"/>
              </w:rPr>
              <w:t>CNN-BiLSTM + cGAN</w:t>
            </w:r>
          </w:p>
        </w:tc>
        <w:tc>
          <w:tcPr>
            <w:tcW w:type="dxa" w:w="1368"/>
          </w:tcPr>
          <w:p>
            <w:pPr>
              <w:spacing w:after="0"/>
            </w:pPr>
            <w:r>
              <w:rPr>
                <w:rFonts w:ascii="Times New Roman" w:hAnsi="Times New Roman" w:cs="Times New Roman"/>
                <w:sz w:val="20"/>
              </w:rPr>
              <w:t>Not stated</w:t>
            </w:r>
          </w:p>
        </w:tc>
        <w:tc>
          <w:tcPr>
            <w:tcW w:type="dxa" w:w="1512"/>
          </w:tcPr>
          <w:p>
            <w:pPr>
              <w:spacing w:after="0"/>
            </w:pPr>
            <w:r>
              <w:rPr>
                <w:rFonts w:ascii="Times New Roman" w:hAnsi="Times New Roman" w:cs="Times New Roman"/>
                <w:sz w:val="20"/>
              </w:rPr>
              <w:t>Both</w:t>
            </w:r>
          </w:p>
        </w:tc>
        <w:tc>
          <w:tcPr>
            <w:tcW w:type="dxa" w:w="2232"/>
          </w:tcPr>
          <w:p>
            <w:pPr>
              <w:spacing w:after="0"/>
            </w:pPr>
            <w:r>
              <w:rPr>
                <w:rFonts w:ascii="Times New Roman" w:hAnsi="Times New Roman" w:cs="Times New Roman"/>
                <w:sz w:val="20"/>
              </w:rPr>
              <w:t>99.00% beat-wise vs 91.69% patient-wise</w:t>
            </w:r>
          </w:p>
        </w:tc>
      </w:tr>
      <w:tr>
        <w:tc>
          <w:tcPr>
            <w:tcW w:type="dxa" w:w="720"/>
          </w:tcPr>
          <w:p>
            <w:pPr>
              <w:spacing w:after="0"/>
            </w:pPr>
            <w:r>
              <w:rPr>
                <w:rFonts w:ascii="Times New Roman" w:hAnsi="Times New Roman" w:cs="Times New Roman"/>
                <w:sz w:val="20"/>
              </w:rPr>
              <w:t>[19]</w:t>
            </w:r>
          </w:p>
        </w:tc>
        <w:tc>
          <w:tcPr>
            <w:tcW w:type="dxa" w:w="1800"/>
          </w:tcPr>
          <w:p>
            <w:pPr>
              <w:spacing w:after="0"/>
            </w:pPr>
            <w:r>
              <w:rPr>
                <w:rFonts w:ascii="Times New Roman" w:hAnsi="Times New Roman" w:cs="Times New Roman"/>
                <w:sz w:val="20"/>
              </w:rPr>
              <w:t>PTB-XL; Chapman</w:t>
            </w:r>
          </w:p>
        </w:tc>
        <w:tc>
          <w:tcPr>
            <w:tcW w:type="dxa" w:w="1728"/>
          </w:tcPr>
          <w:p>
            <w:pPr>
              <w:spacing w:after="0"/>
            </w:pPr>
            <w:r>
              <w:rPr>
                <w:rFonts w:ascii="Times New Roman" w:hAnsi="Times New Roman" w:cs="Times New Roman"/>
                <w:sz w:val="20"/>
              </w:rPr>
              <w:t>ST-CNN-GAP-5</w:t>
            </w:r>
          </w:p>
        </w:tc>
        <w:tc>
          <w:tcPr>
            <w:tcW w:type="dxa" w:w="1368"/>
          </w:tcPr>
          <w:p>
            <w:pPr>
              <w:spacing w:after="0"/>
            </w:pPr>
            <w:r>
              <w:rPr>
                <w:rFonts w:ascii="Times New Roman" w:hAnsi="Times New Roman" w:cs="Times New Roman"/>
                <w:sz w:val="20"/>
              </w:rPr>
              <w:t>SHAP + clinical check</w:t>
            </w:r>
          </w:p>
        </w:tc>
        <w:tc>
          <w:tcPr>
            <w:tcW w:type="dxa" w:w="1512"/>
          </w:tcPr>
          <w:p>
            <w:pPr>
              <w:spacing w:after="0"/>
            </w:pPr>
            <w:r>
              <w:rPr>
                <w:rFonts w:ascii="Times New Roman" w:hAnsi="Times New Roman" w:cs="Times New Roman"/>
                <w:sz w:val="20"/>
              </w:rPr>
              <w:t>Inter-patient (PTB-XL)</w:t>
            </w:r>
          </w:p>
        </w:tc>
        <w:tc>
          <w:tcPr>
            <w:tcW w:type="dxa" w:w="2232"/>
          </w:tcPr>
          <w:p>
            <w:pPr>
              <w:spacing w:after="0"/>
            </w:pPr>
            <w:r>
              <w:rPr>
                <w:rFonts w:ascii="Times New Roman" w:hAnsi="Times New Roman" w:cs="Times New Roman"/>
                <w:sz w:val="20"/>
              </w:rPr>
              <w:t>Macro AUC 93.41%</w:t>
            </w:r>
          </w:p>
        </w:tc>
      </w:tr>
      <w:tr>
        <w:tc>
          <w:tcPr>
            <w:tcW w:type="dxa" w:w="720"/>
          </w:tcPr>
          <w:p>
            <w:pPr>
              <w:spacing w:after="0"/>
            </w:pPr>
            <w:r>
              <w:rPr>
                <w:rFonts w:ascii="Times New Roman" w:hAnsi="Times New Roman" w:cs="Times New Roman"/>
                <w:sz w:val="20"/>
              </w:rPr>
              <w:t>[30]</w:t>
            </w:r>
          </w:p>
        </w:tc>
        <w:tc>
          <w:tcPr>
            <w:tcW w:type="dxa" w:w="1800"/>
          </w:tcPr>
          <w:p>
            <w:pPr>
              <w:spacing w:after="0"/>
            </w:pPr>
            <w:r>
              <w:rPr>
                <w:rFonts w:ascii="Times New Roman" w:hAnsi="Times New Roman" w:cs="Times New Roman"/>
                <w:sz w:val="20"/>
              </w:rPr>
              <w:t>MIT-BIH; INCART; NSTDB</w:t>
            </w:r>
          </w:p>
        </w:tc>
        <w:tc>
          <w:tcPr>
            <w:tcW w:type="dxa" w:w="1728"/>
          </w:tcPr>
          <w:p>
            <w:pPr>
              <w:spacing w:after="0"/>
            </w:pPr>
            <w:r>
              <w:rPr>
                <w:rFonts w:ascii="Times New Roman" w:hAnsi="Times New Roman" w:cs="Times New Roman"/>
                <w:sz w:val="20"/>
              </w:rPr>
              <w:t>BiLSTM + ViT, D-S fusion</w:t>
            </w:r>
          </w:p>
        </w:tc>
        <w:tc>
          <w:tcPr>
            <w:tcW w:type="dxa" w:w="1368"/>
          </w:tcPr>
          <w:p>
            <w:pPr>
              <w:spacing w:after="0"/>
            </w:pPr>
            <w:r>
              <w:rPr>
                <w:rFonts w:ascii="Times New Roman" w:hAnsi="Times New Roman" w:cs="Times New Roman"/>
                <w:sz w:val="20"/>
              </w:rPr>
              <w:t>Not stated</w:t>
            </w:r>
          </w:p>
        </w:tc>
        <w:tc>
          <w:tcPr>
            <w:tcW w:type="dxa" w:w="1512"/>
          </w:tcPr>
          <w:p>
            <w:pPr>
              <w:spacing w:after="0"/>
            </w:pPr>
            <w:r>
              <w:rPr>
                <w:rFonts w:ascii="Times New Roman" w:hAnsi="Times New Roman" w:cs="Times New Roman"/>
                <w:sz w:val="20"/>
              </w:rPr>
              <w:t>Not stated (80/20)</w:t>
            </w:r>
          </w:p>
        </w:tc>
        <w:tc>
          <w:tcPr>
            <w:tcW w:type="dxa" w:w="2232"/>
          </w:tcPr>
          <w:p>
            <w:pPr>
              <w:spacing w:after="0"/>
            </w:pPr>
            <w:r>
              <w:rPr>
                <w:rFonts w:ascii="Times New Roman" w:hAnsi="Times New Roman" w:cs="Times New Roman"/>
                <w:sz w:val="20"/>
              </w:rPr>
              <w:t>Acc 98.8%; robust 15–0 dB noise</w:t>
            </w:r>
          </w:p>
        </w:tc>
      </w:tr>
    </w:tbl>
    <w:p w:rsidR="00AD6F9A" w:rsidRPr="000E5FC4" w:rsidRDefault="001F4042">
      <w:pPr>
        <w:jc w:val="both"/>
        <w:rPr>
          <w:rFonts w:ascii="Times New Roman" w:hAnsi="Times New Roman" w:cs="Times New Roman"/>
          <w:sz w:val="24"/>
          <w:szCs w:val="24"/>
        </w:rPr>
      </w:pP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Research Gaps</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Gap 1 – Explanations are rarely validated and often inconsistent: SHAP and Grad-CAM are widely applied [8], [21], [22], [25], [24], but fewer than 10% of studies validated explanation maps against clinical ECG structures [2], explanations were inconsistent within a class [3], and only a few studies involved clinical review of highlighted features [19], [26].</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Gap 2 – Explainability is seldom combined with patient-independent evaluation: several XAI studies do not describe patient separation in their splits [8], [3], [22], [25], although inter-patient evaluation substantially lowers performance [1], [11] and is used by only 30.3% of reviewed studies [4]; strong inter-patient studies often include no XAI [29], [11], [12].</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Gap 3 – Robustness to realistic noise is tested narrowly and is not linked to explanations: noise tests are limited to AWGN [5] or Gaussian noise [13], or are absent [25], [15]; NSTDB-based robustness work [30] and denoising work [32] include no explanation analysis; none of the surveyed papers tests whether explanations remain stable under noise, although noise is a main source of predictive uncertainty [33].</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Gap 4 – Minority classes and external generalisation remain weak: patient-wise Fusion and S recall were only 0.021 and 0.209 [11]; the F and S classes remain hardest in [14], [9], [34], [15]; and only 18.5% of studies validate externally, with a mean accuracy drop of 8.7% [2].</w:t>
      </w:r>
    </w:p>
    <w:p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Methodology / Proposed Work</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proposed framework follows directly from the three objectives. It consists of the stages below and is summarised in Figure 1. Choices that were tested in the preliminary experiments are noted in each subsection; the experiments themselves are described in the next chapter.</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Block Diagram</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ECG data (MIT-BIH; external database) → Pre-processing (filtering, R-peak detection, beat/segment extraction, normalisation) → Inter-patient data split → Hybrid deep learning classifier → Post-hoc explanation (XAI) → Evaluation of explanations → Robustness and uncertainty evaluation under NSTDB noise.</w:t>
      </w:r>
    </w:p>
    <w:p w:rsidR="00AD6F9A" w:rsidRPr="000E5FC4" w:rsidRDefault="001F4042">
      <w:pPr>
        <w:keepNext/>
        <w:jc w:val="center"/>
        <w:rPr>
          <w:rFonts w:ascii="Times New Roman" w:hAnsi="Times New Roman" w:cs="Times New Roman"/>
          <w:sz w:val="24"/>
          <w:szCs w:val="24"/>
        </w:rPr>
      </w:pPr>
      <w:r>
        <w:drawing>
          <wp:inline xmlns:a="http://schemas.openxmlformats.org/drawingml/2006/main" xmlns:pic="http://schemas.openxmlformats.org/drawingml/2006/picture">
            <wp:extent cx="5486400" cy="3431744"/>
            <wp:docPr id="1" name="Picture 1"/>
            <wp:cNvGraphicFramePr>
              <a:graphicFrameLocks noChangeAspect="1"/>
            </wp:cNvGraphicFramePr>
            <a:graphic>
              <a:graphicData uri="http://schemas.openxmlformats.org/drawingml/2006/picture">
                <pic:pic>
                  <pic:nvPicPr>
                    <pic:cNvPr id="0" name="block_diagram.png"/>
                    <pic:cNvPicPr/>
                  </pic:nvPicPr>
                  <pic:blipFill>
                    <a:blip r:embed="rId8"/>
                    <a:stretch>
                      <a:fillRect/>
                    </a:stretch>
                  </pic:blipFill>
                  <pic:spPr>
                    <a:xfrm>
                      <a:off x="0" y="0"/>
                      <a:ext cx="5486400" cy="3431744"/>
                    </a:xfrm>
                    <a:prstGeom prst="rect"/>
                  </pic:spPr>
                </pic:pic>
              </a:graphicData>
            </a:graphic>
          </wp:inline>
        </w:drawing>
      </w:r>
    </w:p>
    <w:p>
      <w:pPr>
        <w:spacing w:before="120"/>
        <w:jc w:val="center"/>
      </w:pPr>
      <w:r>
        <w:rPr>
          <w:rFonts w:ascii="Times New Roman" w:hAnsi="Times New Roman" w:cs="Times New Roman"/>
          <w:b/>
          <w:sz w:val="24"/>
        </w:rPr>
        <w:t>Figure 1: Block diagram of the proposed framework</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Datasets</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MIT-BIH Arrhythmia Database with AAMI classes N, S, V, F, Q and the inter-patient DS1/DS2 split (Objective 1).</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 xml:space="preserve">An external database for cross-database testing, such as INCART or PTB-XL, both used in the surveyed literature [5], [12], [19], [15]. </w:t>
      </w:r>
      <w:r>
        <w:rPr>
          <w:rFonts w:ascii="Times New Roman" w:hAnsi="Times New Roman" w:cs="Times New Roman"/>
          <w:sz w:val="24"/>
        </w:rPr>
        <w:t>The INCART database is the preferred candidate because, like MIT-BIH, it provides beat-level annotations; external testing is treated as a stretch goal and is otherwise listed as future work.</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MIT-BIH Noise Stress Test Database (baseline wander, muscle artefact, electrode motion) for robustness tests (Objective 3), as used in [30].</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Classification Model</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A hybrid model combining a convolutional front end for waveform morphology with a recurrent or attention module for temporal context, a design family that a recent systematic review judged the most clinically translatable [2]. Class imbalance will be handled on the training partition only. </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b/>
          <w:sz w:val="24"/>
        </w:rPr>
        <w:t xml:space="preserve">Baseline: </w:t>
      </w:r>
      <w:r>
        <w:rPr>
          <w:rFonts w:ascii="Times New Roman" w:hAnsi="Times New Roman" w:cs="Times New Roman"/>
          <w:sz w:val="24"/>
        </w:rPr>
        <w:t>a 1D CNN with three convolutional blocks (32, 64 and 128 filters, kernel sizes 7, 5 and 3; each followed by batch normalisation, ReLU and max-pooling), global average pooling, a 64-unit dense layer and a softmax output (about 44,700 parameters). This network has already been implemented and trained (next chapter).</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b/>
          <w:sz w:val="24"/>
        </w:rPr>
        <w:t xml:space="preserve">Proposed: </w:t>
      </w:r>
      <w:r>
        <w:rPr>
          <w:rFonts w:ascii="Times New Roman" w:hAnsi="Times New Roman" w:cs="Times New Roman"/>
          <w:sz w:val="24"/>
        </w:rPr>
        <w:t>the same convolutional front end followed by an LSTM layer with 64 units; its last hidden state is concatenated with the previous and next RR intervals (each divided by the record's mean RR) before a 64-unit dense layer and a softmax over N, S, V and F. A residual CNN, which gave the best preliminary results, will be kept as an additional comparison model.</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b/>
          <w:sz w:val="24"/>
        </w:rPr>
        <w:t xml:space="preserve">Class imbalance: </w:t>
      </w:r>
      <w:r>
        <w:rPr>
          <w:rFonts w:ascii="Times New Roman" w:hAnsi="Times New Roman" w:cs="Times New Roman"/>
          <w:sz w:val="24"/>
        </w:rPr>
        <w:t>class-weighted cross-entropy on the training partition only. The preliminary experiments showed that fully balanced weights (F:N weight ratio 113:1) caused many false Fusion predictions, while square-root-balanced weights (10.6:1) gave the best results, so square-root weights are used.</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b/>
          <w:sz w:val="24"/>
        </w:rPr>
        <w:t xml:space="preserve">Training: </w:t>
      </w:r>
      <w:r>
        <w:rPr>
          <w:rFonts w:ascii="Times New Roman" w:hAnsi="Times New Roman" w:cs="Times New Roman"/>
          <w:sz w:val="24"/>
        </w:rPr>
        <w:t>Adam optimiser, batch size 128, at most 30 epochs, with the best epoch chosen on validation macro F1 rather than validation loss (this alone raised test macro F1 from 76.29% to 83.96% in the preliminary experiments). The learning rate will be tuned on the validation set.</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Explainability</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At least two post-hoc XAI methods (e.g. SHAP and Grad-CAM) will be applied. Explanations will be evaluated for within-class consistency and for agreement with recognised ECG features such as the P wave, QRS complex and RR interval. </w:t>
      </w:r>
      <w:r>
        <w:rPr>
          <w:rFonts w:ascii="Times New Roman" w:hAnsi="Times New Roman" w:cs="Times New Roman"/>
          <w:sz w:val="24"/>
        </w:rPr>
        <w:t>The two methods are Grad-CAM [37], already implemented for the preliminary models, and Gradient SHAP [38]. Three measures will be used:</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b/>
          <w:sz w:val="24"/>
        </w:rPr>
        <w:t xml:space="preserve">Region share: </w:t>
      </w:r>
      <w:r>
        <w:rPr>
          <w:rFonts w:ascii="Times New Roman" w:hAnsi="Times New Roman" w:cs="Times New Roman"/>
          <w:sz w:val="24"/>
        </w:rPr>
        <w:t>the share of total absolute attribution that falls in fixed windows around the R peak: P wave [−250, −80] ms, QRS complex [−50, +50] ms and T wave [+100, +400] ms, averaged per class.</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b/>
          <w:sz w:val="24"/>
        </w:rPr>
        <w:t xml:space="preserve">Deletion test: </w:t>
      </w:r>
      <w:r>
        <w:rPr>
          <w:rFonts w:ascii="Times New Roman" w:hAnsi="Times New Roman" w:cs="Times New Roman"/>
          <w:sz w:val="24"/>
        </w:rPr>
        <w:t>the 10% of samples with the highest attribution are set to zero and the drop in the predicted class probability is compared with the drop when 10% of samples are removed at random. A faithful map should give a much larger drop.</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b/>
          <w:sz w:val="24"/>
        </w:rPr>
        <w:t xml:space="preserve">Stability: </w:t>
      </w:r>
      <w:r>
        <w:rPr>
          <w:rFonts w:ascii="Times New Roman" w:hAnsi="Times New Roman" w:cs="Times New Roman"/>
          <w:sz w:val="24"/>
        </w:rPr>
        <w:t>the Pearson correlation between the attribution map of a clean beat and of the same beat with noise added (used in the robustness study).</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Robustness and Uncertainty</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Classification metrics and explanation stability will be measured as NSTDB noise is added at graded SNR levels. Uncertainty estimates (for example Monte Carlo dropout, as in [33]) will be used to flag unreliable predictions. </w:t>
      </w:r>
      <w:r>
        <w:rPr>
          <w:rFonts w:ascii="Times New Roman" w:hAnsi="Times New Roman" w:cs="Times New Roman"/>
          <w:sz w:val="24"/>
        </w:rPr>
        <w:t>The muscle-artefact ('ma') record of the NSTDB will be scaled and added to the test beats at SNR = 18, 6 and 0 dB, where SNR = 10·log10(P_signal / P_noise), and macro F1 will be plotted against SNR for both models. Monte Carlo dropout is the planned uncertainty method if time permits; otherwise it is listed as future work.</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Evaluation Metrics</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Accuracy, per-class precision, recall and F1, and macro F1 will be reported, since overall accuracy alone can hide poor minority-class performance [1].</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Tools</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Python 3 with TensorFlow 2.20 / Keras for model building and training; NumPy and pandas for data handling; scikit-learn for data splits, class weights and metrics; Matplotlib and seaborn for figures; the wfdb package for reading the PhysioNet MIT-BIH and NSTDB records; the SHAP library for SHAP attributions; and Streamlit for the demonstration dashboard. Experiments are run on Kaggle notebooks with an NVIDIA Tesla T4 GPU.</w:t>
      </w:r>
    </w:p>
    <w:p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Work Done Till Mid-Semester</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work completed up to the mid-semester evaluation covers the literature survey, the design of the framework and two rounds of preliminary experiments, referred to as V1 (baseline) and V2 (step-by-step improvements). Both were run as Kaggle notebooks.</w:t>
      </w:r>
    </w:p>
    <w:p>
      <w:pPr>
        <w:keepNext/>
        <w:spacing w:before="120"/>
        <w:jc w:val="left"/>
      </w:pPr>
      <w:r>
        <w:rPr>
          <w:rFonts w:ascii="Times New Roman" w:hAnsi="Times New Roman" w:cs="Times New Roman"/>
          <w:b/>
          <w:sz w:val="24"/>
        </w:rPr>
        <w:t>Completed Tasks</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sz w:val="24"/>
        </w:rPr>
        <w:t>Literature survey of deep learning and XAI methods for ECG arrhythmia classification, and identification of the research gaps (Literature Review chapter).</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sz w:val="24"/>
        </w:rPr>
        <w:t>Design of the framework: AAMI class mapping, intra- and inter-patient (DS1/DS2) evaluation protocols, explanation metrics and noise test settings (Methodology chapter).</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sz w:val="24"/>
        </w:rPr>
        <w:t>V1: a baseline 1D CNN with a class-weighted loss, full test-set evaluation (accuracy, per-class precision / recall / F1, macro F1, confusion matrix) and Grad-CAM heatmaps for each class.</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sz w:val="24"/>
        </w:rPr>
        <w:t>V2: five controlled improvement experiments (E1–E5) and validation-based threshold tuning, raising test macro F1 from 76.29% to 91.10%, followed by Grad-CAM on the final model.</w:t>
      </w:r>
    </w:p>
    <w:p>
      <w:pPr>
        <w:keepNext/>
        <w:spacing w:before="120"/>
        <w:jc w:val="left"/>
      </w:pPr>
      <w:r>
        <w:rPr>
          <w:rFonts w:ascii="Times New Roman" w:hAnsi="Times New Roman" w:cs="Times New Roman"/>
          <w:b/>
          <w:sz w:val="24"/>
        </w:rPr>
        <w:t>Dataset Used in the Preliminary Experiments</w:t>
      </w:r>
    </w:p>
    <w:p>
      <w:pPr>
        <w:jc w:val="both"/>
      </w:pPr>
      <w:r>
        <w:rPr>
          <w:rFonts w:ascii="Times New Roman" w:hAnsi="Times New Roman" w:cs="Times New Roman"/>
          <w:sz w:val="24"/>
        </w:rPr>
        <w:t>To develop and debug the pipeline before building our own pre-processing, the preliminary experiments use the pre-segmented MIT-BIH heartbeat dataset published by Kachuee et al. [35]. Each beat is 187 samples long (1.5 s at 125 Hz), scaled to [0, 1] and zero-padded, and is labelled with one of five AAMI classes (N, S, V, F, Q). The provided training file (87,554 beats) was split 80/20 with stratification (random seed 42) into training (70,043) and validation (17,511) sets; the provided test file (21,892 beats) was used only for final evaluation. Table 2 shows the strong class imbalance: a model that always predicts N would already exceed 80% accuracy, so macro F1 is the main metric. Because this split is by beat, the same patients appear in training and test data, so all preliminary results are intra-patient results.</w:t>
      </w:r>
    </w:p>
    <w:p>
      <w:pPr>
        <w:keepNext/>
        <w:spacing w:before="120"/>
        <w:jc w:val="center"/>
      </w:pPr>
      <w:r>
        <w:rPr>
          <w:rFonts w:ascii="Times New Roman" w:hAnsi="Times New Roman" w:cs="Times New Roman"/>
          <w:b/>
          <w:sz w:val="24"/>
        </w:rPr>
        <w:t>Table 2: Class distribution of the dataset used in the preliminary experiments [35]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168"/>
          </w:tcPr>
          <w:p>
            <w:pPr>
              <w:spacing w:after="0"/>
              <w:jc w:val="left"/>
            </w:pPr>
            <w:r>
              <w:rPr>
                <w:rFonts w:ascii="Times New Roman" w:hAnsi="Times New Roman" w:cs="Times New Roman"/>
                <w:b/>
                <w:sz w:val="20"/>
              </w:rPr>
              <w:t>Class</w:t>
            </w:r>
          </w:p>
        </w:tc>
        <w:tc>
          <w:tcPr>
            <w:tcW w:type="dxa" w:w="1584"/>
          </w:tcPr>
          <w:p>
            <w:pPr>
              <w:spacing w:after="0"/>
              <w:jc w:val="center"/>
            </w:pPr>
            <w:r>
              <w:rPr>
                <w:rFonts w:ascii="Times New Roman" w:hAnsi="Times New Roman" w:cs="Times New Roman"/>
                <w:b/>
                <w:sz w:val="20"/>
              </w:rPr>
              <w:t>Training file</w:t>
            </w:r>
          </w:p>
        </w:tc>
        <w:tc>
          <w:tcPr>
            <w:tcW w:type="dxa" w:w="1008"/>
          </w:tcPr>
          <w:p>
            <w:pPr>
              <w:spacing w:after="0"/>
              <w:jc w:val="center"/>
            </w:pPr>
            <w:r>
              <w:rPr>
                <w:rFonts w:ascii="Times New Roman" w:hAnsi="Times New Roman" w:cs="Times New Roman"/>
                <w:b/>
                <w:sz w:val="20"/>
              </w:rPr>
              <w:t>%</w:t>
            </w:r>
          </w:p>
        </w:tc>
        <w:tc>
          <w:tcPr>
            <w:tcW w:type="dxa" w:w="1584"/>
          </w:tcPr>
          <w:p>
            <w:pPr>
              <w:spacing w:after="0"/>
              <w:jc w:val="center"/>
            </w:pPr>
            <w:r>
              <w:rPr>
                <w:rFonts w:ascii="Times New Roman" w:hAnsi="Times New Roman" w:cs="Times New Roman"/>
                <w:b/>
                <w:sz w:val="20"/>
              </w:rPr>
              <w:t>Test file</w:t>
            </w:r>
          </w:p>
        </w:tc>
        <w:tc>
          <w:tcPr>
            <w:tcW w:type="dxa" w:w="1008"/>
          </w:tcPr>
          <w:p>
            <w:pPr>
              <w:spacing w:after="0"/>
              <w:jc w:val="center"/>
            </w:pPr>
            <w:r>
              <w:rPr>
                <w:rFonts w:ascii="Times New Roman" w:hAnsi="Times New Roman" w:cs="Times New Roman"/>
                <w:b/>
                <w:sz w:val="20"/>
              </w:rPr>
              <w:t>%</w:t>
            </w:r>
          </w:p>
        </w:tc>
      </w:tr>
      <w:tr>
        <w:tc>
          <w:tcPr>
            <w:tcW w:type="dxa" w:w="3168"/>
          </w:tcPr>
          <w:p>
            <w:pPr>
              <w:spacing w:after="0"/>
              <w:jc w:val="left"/>
            </w:pPr>
            <w:r>
              <w:rPr>
                <w:rFonts w:ascii="Times New Roman" w:hAnsi="Times New Roman" w:cs="Times New Roman"/>
                <w:sz w:val="20"/>
              </w:rPr>
              <w:t>N – Normal</w:t>
            </w:r>
          </w:p>
        </w:tc>
        <w:tc>
          <w:tcPr>
            <w:tcW w:type="dxa" w:w="1584"/>
          </w:tcPr>
          <w:p>
            <w:pPr>
              <w:spacing w:after="0"/>
              <w:jc w:val="center"/>
            </w:pPr>
            <w:r>
              <w:rPr>
                <w:rFonts w:ascii="Times New Roman" w:hAnsi="Times New Roman" w:cs="Times New Roman"/>
                <w:sz w:val="20"/>
              </w:rPr>
              <w:t>72,471</w:t>
            </w:r>
          </w:p>
        </w:tc>
        <w:tc>
          <w:tcPr>
            <w:tcW w:type="dxa" w:w="1008"/>
          </w:tcPr>
          <w:p>
            <w:pPr>
              <w:spacing w:after="0"/>
              <w:jc w:val="center"/>
            </w:pPr>
            <w:r>
              <w:rPr>
                <w:rFonts w:ascii="Times New Roman" w:hAnsi="Times New Roman" w:cs="Times New Roman"/>
                <w:sz w:val="20"/>
              </w:rPr>
              <w:t>82.77</w:t>
            </w:r>
          </w:p>
        </w:tc>
        <w:tc>
          <w:tcPr>
            <w:tcW w:type="dxa" w:w="1584"/>
          </w:tcPr>
          <w:p>
            <w:pPr>
              <w:spacing w:after="0"/>
              <w:jc w:val="center"/>
            </w:pPr>
            <w:r>
              <w:rPr>
                <w:rFonts w:ascii="Times New Roman" w:hAnsi="Times New Roman" w:cs="Times New Roman"/>
                <w:sz w:val="20"/>
              </w:rPr>
              <w:t>18,118</w:t>
            </w:r>
          </w:p>
        </w:tc>
        <w:tc>
          <w:tcPr>
            <w:tcW w:type="dxa" w:w="1008"/>
          </w:tcPr>
          <w:p>
            <w:pPr>
              <w:spacing w:after="0"/>
              <w:jc w:val="center"/>
            </w:pPr>
            <w:r>
              <w:rPr>
                <w:rFonts w:ascii="Times New Roman" w:hAnsi="Times New Roman" w:cs="Times New Roman"/>
                <w:sz w:val="20"/>
              </w:rPr>
              <w:t>82.76</w:t>
            </w:r>
          </w:p>
        </w:tc>
      </w:tr>
      <w:tr>
        <w:tc>
          <w:tcPr>
            <w:tcW w:type="dxa" w:w="3168"/>
          </w:tcPr>
          <w:p>
            <w:pPr>
              <w:spacing w:after="0"/>
              <w:jc w:val="left"/>
            </w:pPr>
            <w:r>
              <w:rPr>
                <w:rFonts w:ascii="Times New Roman" w:hAnsi="Times New Roman" w:cs="Times New Roman"/>
                <w:sz w:val="20"/>
              </w:rPr>
              <w:t>S – Supraventricular ectopic</w:t>
            </w:r>
          </w:p>
        </w:tc>
        <w:tc>
          <w:tcPr>
            <w:tcW w:type="dxa" w:w="1584"/>
          </w:tcPr>
          <w:p>
            <w:pPr>
              <w:spacing w:after="0"/>
              <w:jc w:val="center"/>
            </w:pPr>
            <w:r>
              <w:rPr>
                <w:rFonts w:ascii="Times New Roman" w:hAnsi="Times New Roman" w:cs="Times New Roman"/>
                <w:sz w:val="20"/>
              </w:rPr>
              <w:t>2,223</w:t>
            </w:r>
          </w:p>
        </w:tc>
        <w:tc>
          <w:tcPr>
            <w:tcW w:type="dxa" w:w="1008"/>
          </w:tcPr>
          <w:p>
            <w:pPr>
              <w:spacing w:after="0"/>
              <w:jc w:val="center"/>
            </w:pPr>
            <w:r>
              <w:rPr>
                <w:rFonts w:ascii="Times New Roman" w:hAnsi="Times New Roman" w:cs="Times New Roman"/>
                <w:sz w:val="20"/>
              </w:rPr>
              <w:t>2.54</w:t>
            </w:r>
          </w:p>
        </w:tc>
        <w:tc>
          <w:tcPr>
            <w:tcW w:type="dxa" w:w="1584"/>
          </w:tcPr>
          <w:p>
            <w:pPr>
              <w:spacing w:after="0"/>
              <w:jc w:val="center"/>
            </w:pPr>
            <w:r>
              <w:rPr>
                <w:rFonts w:ascii="Times New Roman" w:hAnsi="Times New Roman" w:cs="Times New Roman"/>
                <w:sz w:val="20"/>
              </w:rPr>
              <w:t>556</w:t>
            </w:r>
          </w:p>
        </w:tc>
        <w:tc>
          <w:tcPr>
            <w:tcW w:type="dxa" w:w="1008"/>
          </w:tcPr>
          <w:p>
            <w:pPr>
              <w:spacing w:after="0"/>
              <w:jc w:val="center"/>
            </w:pPr>
            <w:r>
              <w:rPr>
                <w:rFonts w:ascii="Times New Roman" w:hAnsi="Times New Roman" w:cs="Times New Roman"/>
                <w:sz w:val="20"/>
              </w:rPr>
              <w:t>2.54</w:t>
            </w:r>
          </w:p>
        </w:tc>
      </w:tr>
      <w:tr>
        <w:tc>
          <w:tcPr>
            <w:tcW w:type="dxa" w:w="3168"/>
          </w:tcPr>
          <w:p>
            <w:pPr>
              <w:spacing w:after="0"/>
              <w:jc w:val="left"/>
            </w:pPr>
            <w:r>
              <w:rPr>
                <w:rFonts w:ascii="Times New Roman" w:hAnsi="Times New Roman" w:cs="Times New Roman"/>
                <w:sz w:val="20"/>
              </w:rPr>
              <w:t>V – Ventricular ectopic</w:t>
            </w:r>
          </w:p>
        </w:tc>
        <w:tc>
          <w:tcPr>
            <w:tcW w:type="dxa" w:w="1584"/>
          </w:tcPr>
          <w:p>
            <w:pPr>
              <w:spacing w:after="0"/>
              <w:jc w:val="center"/>
            </w:pPr>
            <w:r>
              <w:rPr>
                <w:rFonts w:ascii="Times New Roman" w:hAnsi="Times New Roman" w:cs="Times New Roman"/>
                <w:sz w:val="20"/>
              </w:rPr>
              <w:t>5,788</w:t>
            </w:r>
          </w:p>
        </w:tc>
        <w:tc>
          <w:tcPr>
            <w:tcW w:type="dxa" w:w="1008"/>
          </w:tcPr>
          <w:p>
            <w:pPr>
              <w:spacing w:after="0"/>
              <w:jc w:val="center"/>
            </w:pPr>
            <w:r>
              <w:rPr>
                <w:rFonts w:ascii="Times New Roman" w:hAnsi="Times New Roman" w:cs="Times New Roman"/>
                <w:sz w:val="20"/>
              </w:rPr>
              <w:t>6.61</w:t>
            </w:r>
          </w:p>
        </w:tc>
        <w:tc>
          <w:tcPr>
            <w:tcW w:type="dxa" w:w="1584"/>
          </w:tcPr>
          <w:p>
            <w:pPr>
              <w:spacing w:after="0"/>
              <w:jc w:val="center"/>
            </w:pPr>
            <w:r>
              <w:rPr>
                <w:rFonts w:ascii="Times New Roman" w:hAnsi="Times New Roman" w:cs="Times New Roman"/>
                <w:sz w:val="20"/>
              </w:rPr>
              <w:t>1,448</w:t>
            </w:r>
          </w:p>
        </w:tc>
        <w:tc>
          <w:tcPr>
            <w:tcW w:type="dxa" w:w="1008"/>
          </w:tcPr>
          <w:p>
            <w:pPr>
              <w:spacing w:after="0"/>
              <w:jc w:val="center"/>
            </w:pPr>
            <w:r>
              <w:rPr>
                <w:rFonts w:ascii="Times New Roman" w:hAnsi="Times New Roman" w:cs="Times New Roman"/>
                <w:sz w:val="20"/>
              </w:rPr>
              <w:t>6.61</w:t>
            </w:r>
          </w:p>
        </w:tc>
      </w:tr>
      <w:tr>
        <w:tc>
          <w:tcPr>
            <w:tcW w:type="dxa" w:w="3168"/>
          </w:tcPr>
          <w:p>
            <w:pPr>
              <w:spacing w:after="0"/>
              <w:jc w:val="left"/>
            </w:pPr>
            <w:r>
              <w:rPr>
                <w:rFonts w:ascii="Times New Roman" w:hAnsi="Times New Roman" w:cs="Times New Roman"/>
                <w:sz w:val="20"/>
              </w:rPr>
              <w:t>F – Fusion</w:t>
            </w:r>
          </w:p>
        </w:tc>
        <w:tc>
          <w:tcPr>
            <w:tcW w:type="dxa" w:w="1584"/>
          </w:tcPr>
          <w:p>
            <w:pPr>
              <w:spacing w:after="0"/>
              <w:jc w:val="center"/>
            </w:pPr>
            <w:r>
              <w:rPr>
                <w:rFonts w:ascii="Times New Roman" w:hAnsi="Times New Roman" w:cs="Times New Roman"/>
                <w:sz w:val="20"/>
              </w:rPr>
              <w:t>641</w:t>
            </w:r>
          </w:p>
        </w:tc>
        <w:tc>
          <w:tcPr>
            <w:tcW w:type="dxa" w:w="1008"/>
          </w:tcPr>
          <w:p>
            <w:pPr>
              <w:spacing w:after="0"/>
              <w:jc w:val="center"/>
            </w:pPr>
            <w:r>
              <w:rPr>
                <w:rFonts w:ascii="Times New Roman" w:hAnsi="Times New Roman" w:cs="Times New Roman"/>
                <w:sz w:val="20"/>
              </w:rPr>
              <w:t>0.73</w:t>
            </w:r>
          </w:p>
        </w:tc>
        <w:tc>
          <w:tcPr>
            <w:tcW w:type="dxa" w:w="1584"/>
          </w:tcPr>
          <w:p>
            <w:pPr>
              <w:spacing w:after="0"/>
              <w:jc w:val="center"/>
            </w:pPr>
            <w:r>
              <w:rPr>
                <w:rFonts w:ascii="Times New Roman" w:hAnsi="Times New Roman" w:cs="Times New Roman"/>
                <w:sz w:val="20"/>
              </w:rPr>
              <w:t>162</w:t>
            </w:r>
          </w:p>
        </w:tc>
        <w:tc>
          <w:tcPr>
            <w:tcW w:type="dxa" w:w="1008"/>
          </w:tcPr>
          <w:p>
            <w:pPr>
              <w:spacing w:after="0"/>
              <w:jc w:val="center"/>
            </w:pPr>
            <w:r>
              <w:rPr>
                <w:rFonts w:ascii="Times New Roman" w:hAnsi="Times New Roman" w:cs="Times New Roman"/>
                <w:sz w:val="20"/>
              </w:rPr>
              <w:t>0.74</w:t>
            </w:r>
          </w:p>
        </w:tc>
      </w:tr>
      <w:tr>
        <w:tc>
          <w:tcPr>
            <w:tcW w:type="dxa" w:w="3168"/>
          </w:tcPr>
          <w:p>
            <w:pPr>
              <w:spacing w:after="0"/>
              <w:jc w:val="left"/>
            </w:pPr>
            <w:r>
              <w:rPr>
                <w:rFonts w:ascii="Times New Roman" w:hAnsi="Times New Roman" w:cs="Times New Roman"/>
                <w:sz w:val="20"/>
              </w:rPr>
              <w:t>Q – Unknown / paced</w:t>
            </w:r>
          </w:p>
        </w:tc>
        <w:tc>
          <w:tcPr>
            <w:tcW w:type="dxa" w:w="1584"/>
          </w:tcPr>
          <w:p>
            <w:pPr>
              <w:spacing w:after="0"/>
              <w:jc w:val="center"/>
            </w:pPr>
            <w:r>
              <w:rPr>
                <w:rFonts w:ascii="Times New Roman" w:hAnsi="Times New Roman" w:cs="Times New Roman"/>
                <w:sz w:val="20"/>
              </w:rPr>
              <w:t>6,431</w:t>
            </w:r>
          </w:p>
        </w:tc>
        <w:tc>
          <w:tcPr>
            <w:tcW w:type="dxa" w:w="1008"/>
          </w:tcPr>
          <w:p>
            <w:pPr>
              <w:spacing w:after="0"/>
              <w:jc w:val="center"/>
            </w:pPr>
            <w:r>
              <w:rPr>
                <w:rFonts w:ascii="Times New Roman" w:hAnsi="Times New Roman" w:cs="Times New Roman"/>
                <w:sz w:val="20"/>
              </w:rPr>
              <w:t>7.35</w:t>
            </w:r>
          </w:p>
        </w:tc>
        <w:tc>
          <w:tcPr>
            <w:tcW w:type="dxa" w:w="1584"/>
          </w:tcPr>
          <w:p>
            <w:pPr>
              <w:spacing w:after="0"/>
              <w:jc w:val="center"/>
            </w:pPr>
            <w:r>
              <w:rPr>
                <w:rFonts w:ascii="Times New Roman" w:hAnsi="Times New Roman" w:cs="Times New Roman"/>
                <w:sz w:val="20"/>
              </w:rPr>
              <w:t>1,608</w:t>
            </w:r>
          </w:p>
        </w:tc>
        <w:tc>
          <w:tcPr>
            <w:tcW w:type="dxa" w:w="1008"/>
          </w:tcPr>
          <w:p>
            <w:pPr>
              <w:spacing w:after="0"/>
              <w:jc w:val="center"/>
            </w:pPr>
            <w:r>
              <w:rPr>
                <w:rFonts w:ascii="Times New Roman" w:hAnsi="Times New Roman" w:cs="Times New Roman"/>
                <w:sz w:val="20"/>
              </w:rPr>
              <w:t>7.35</w:t>
            </w:r>
          </w:p>
        </w:tc>
      </w:tr>
      <w:tr>
        <w:tc>
          <w:tcPr>
            <w:tcW w:type="dxa" w:w="3168"/>
          </w:tcPr>
          <w:p>
            <w:pPr>
              <w:spacing w:after="0"/>
              <w:jc w:val="left"/>
            </w:pPr>
            <w:r>
              <w:rPr>
                <w:rFonts w:ascii="Times New Roman" w:hAnsi="Times New Roman" w:cs="Times New Roman"/>
                <w:b/>
                <w:sz w:val="20"/>
              </w:rPr>
              <w:t>Total</w:t>
            </w:r>
          </w:p>
        </w:tc>
        <w:tc>
          <w:tcPr>
            <w:tcW w:type="dxa" w:w="1584"/>
          </w:tcPr>
          <w:p>
            <w:pPr>
              <w:spacing w:after="0"/>
              <w:jc w:val="center"/>
            </w:pPr>
            <w:r>
              <w:rPr>
                <w:rFonts w:ascii="Times New Roman" w:hAnsi="Times New Roman" w:cs="Times New Roman"/>
                <w:b/>
                <w:sz w:val="20"/>
              </w:rPr>
              <w:t>87,554</w:t>
            </w:r>
          </w:p>
        </w:tc>
        <w:tc>
          <w:tcPr>
            <w:tcW w:type="dxa" w:w="1008"/>
          </w:tcPr>
          <w:p>
            <w:pPr>
              <w:spacing w:after="0"/>
              <w:jc w:val="center"/>
            </w:pPr>
            <w:r>
              <w:rPr>
                <w:rFonts w:ascii="Times New Roman" w:hAnsi="Times New Roman" w:cs="Times New Roman"/>
                <w:b/>
                <w:sz w:val="20"/>
              </w:rPr>
              <w:t>100</w:t>
            </w:r>
          </w:p>
        </w:tc>
        <w:tc>
          <w:tcPr>
            <w:tcW w:type="dxa" w:w="1584"/>
          </w:tcPr>
          <w:p>
            <w:pPr>
              <w:spacing w:after="0"/>
              <w:jc w:val="center"/>
            </w:pPr>
            <w:r>
              <w:rPr>
                <w:rFonts w:ascii="Times New Roman" w:hAnsi="Times New Roman" w:cs="Times New Roman"/>
                <w:b/>
                <w:sz w:val="20"/>
              </w:rPr>
              <w:t>21,892</w:t>
            </w:r>
          </w:p>
        </w:tc>
        <w:tc>
          <w:tcPr>
            <w:tcW w:type="dxa" w:w="1008"/>
          </w:tcPr>
          <w:p>
            <w:pPr>
              <w:spacing w:after="0"/>
              <w:jc w:val="center"/>
            </w:pPr>
            <w:r>
              <w:rPr>
                <w:rFonts w:ascii="Times New Roman" w:hAnsi="Times New Roman" w:cs="Times New Roman"/>
                <w:b/>
                <w:sz w:val="20"/>
              </w:rPr>
              <w:t>100</w:t>
            </w:r>
          </w:p>
        </w:tc>
      </w:tr>
    </w:tbl>
    <w:p>
      <w:pPr>
        <w:jc w:val="both"/>
      </w:pPr>
      <w:r>
        <w:rPr>
          <w:rFonts w:ascii="Times New Roman" w:hAnsi="Times New Roman" w:cs="Times New Roman"/>
          <w:sz w:val="24"/>
        </w:rPr>
      </w:r>
    </w:p>
    <w:p>
      <w:pPr>
        <w:keepNext/>
        <w:spacing w:before="120"/>
        <w:jc w:val="left"/>
      </w:pPr>
      <w:r>
        <w:rPr>
          <w:rFonts w:ascii="Times New Roman" w:hAnsi="Times New Roman" w:cs="Times New Roman"/>
          <w:b/>
          <w:sz w:val="24"/>
        </w:rPr>
        <w:t>V1: Baseline 1D CNN</w:t>
      </w:r>
    </w:p>
    <w:p>
      <w:pPr>
        <w:jc w:val="both"/>
      </w:pPr>
      <w:r>
        <w:rPr>
          <w:rFonts w:ascii="Times New Roman" w:hAnsi="Times New Roman" w:cs="Times New Roman"/>
          <w:sz w:val="24"/>
        </w:rPr>
        <w:t>The baseline is the 1D CNN described in the Methodology chapter (44,741 parameters) with a five-class output. It was trained with the Adam optimiser (learning rate 10⁻³), batch size 128 and fully balanced class weights w_c = N / (K·n_c), which give N a weight of 0.24 and F a weight of 27.31. Early stopping monitored validation loss with a patience of 6 epochs; training stopped after 17 epochs and the weights of epoch 11 were restored. Table 3 gives the test results and Figure 2 the confusion matrix.</w:t>
      </w:r>
    </w:p>
    <w:p>
      <w:pPr>
        <w:keepNext/>
        <w:spacing w:before="120"/>
        <w:jc w:val="center"/>
      </w:pPr>
      <w:r>
        <w:rPr>
          <w:rFonts w:ascii="Times New Roman" w:hAnsi="Times New Roman" w:cs="Times New Roman"/>
          <w:b/>
          <w:sz w:val="24"/>
        </w:rPr>
        <w:t>Table 3: Test-set results of the V1 baseline 1D CNN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pPr>
              <w:spacing w:after="0"/>
              <w:jc w:val="left"/>
            </w:pPr>
            <w:r>
              <w:rPr>
                <w:rFonts w:ascii="Times New Roman" w:hAnsi="Times New Roman" w:cs="Times New Roman"/>
                <w:b/>
                <w:sz w:val="20"/>
              </w:rPr>
              <w:t>Class</w:t>
            </w:r>
          </w:p>
        </w:tc>
        <w:tc>
          <w:tcPr>
            <w:tcW w:type="dxa" w:w="1584"/>
          </w:tcPr>
          <w:p>
            <w:pPr>
              <w:spacing w:after="0"/>
              <w:jc w:val="center"/>
            </w:pPr>
            <w:r>
              <w:rPr>
                <w:rFonts w:ascii="Times New Roman" w:hAnsi="Times New Roman" w:cs="Times New Roman"/>
                <w:b/>
                <w:sz w:val="20"/>
              </w:rPr>
              <w:t>Precision</w:t>
            </w:r>
          </w:p>
        </w:tc>
        <w:tc>
          <w:tcPr>
            <w:tcW w:type="dxa" w:w="1584"/>
          </w:tcPr>
          <w:p>
            <w:pPr>
              <w:spacing w:after="0"/>
              <w:jc w:val="center"/>
            </w:pPr>
            <w:r>
              <w:rPr>
                <w:rFonts w:ascii="Times New Roman" w:hAnsi="Times New Roman" w:cs="Times New Roman"/>
                <w:b/>
                <w:sz w:val="20"/>
              </w:rPr>
              <w:t>Recall</w:t>
            </w:r>
          </w:p>
        </w:tc>
        <w:tc>
          <w:tcPr>
            <w:tcW w:type="dxa" w:w="1584"/>
          </w:tcPr>
          <w:p>
            <w:pPr>
              <w:spacing w:after="0"/>
              <w:jc w:val="center"/>
            </w:pPr>
            <w:r>
              <w:rPr>
                <w:rFonts w:ascii="Times New Roman" w:hAnsi="Times New Roman" w:cs="Times New Roman"/>
                <w:b/>
                <w:sz w:val="20"/>
              </w:rPr>
              <w:t>F1-score</w:t>
            </w:r>
          </w:p>
        </w:tc>
        <w:tc>
          <w:tcPr>
            <w:tcW w:type="dxa" w:w="1584"/>
          </w:tcPr>
          <w:p>
            <w:pPr>
              <w:spacing w:after="0"/>
              <w:jc w:val="center"/>
            </w:pPr>
            <w:r>
              <w:rPr>
                <w:rFonts w:ascii="Times New Roman" w:hAnsi="Times New Roman" w:cs="Times New Roman"/>
                <w:b/>
                <w:sz w:val="20"/>
              </w:rPr>
              <w:t>Test beats</w:t>
            </w:r>
          </w:p>
        </w:tc>
      </w:tr>
      <w:tr>
        <w:tc>
          <w:tcPr>
            <w:tcW w:type="dxa" w:w="2304"/>
          </w:tcPr>
          <w:p>
            <w:pPr>
              <w:spacing w:after="0"/>
              <w:jc w:val="left"/>
            </w:pPr>
            <w:r>
              <w:rPr>
                <w:rFonts w:ascii="Times New Roman" w:hAnsi="Times New Roman" w:cs="Times New Roman"/>
                <w:sz w:val="20"/>
              </w:rPr>
              <w:t>N</w:t>
            </w:r>
          </w:p>
        </w:tc>
        <w:tc>
          <w:tcPr>
            <w:tcW w:type="dxa" w:w="1584"/>
          </w:tcPr>
          <w:p>
            <w:pPr>
              <w:spacing w:after="0"/>
              <w:jc w:val="center"/>
            </w:pPr>
            <w:r>
              <w:rPr>
                <w:rFonts w:ascii="Times New Roman" w:hAnsi="Times New Roman" w:cs="Times New Roman"/>
                <w:sz w:val="20"/>
              </w:rPr>
              <w:t>0.9813</w:t>
            </w:r>
          </w:p>
        </w:tc>
        <w:tc>
          <w:tcPr>
            <w:tcW w:type="dxa" w:w="1584"/>
          </w:tcPr>
          <w:p>
            <w:pPr>
              <w:spacing w:after="0"/>
              <w:jc w:val="center"/>
            </w:pPr>
            <w:r>
              <w:rPr>
                <w:rFonts w:ascii="Times New Roman" w:hAnsi="Times New Roman" w:cs="Times New Roman"/>
                <w:sz w:val="20"/>
              </w:rPr>
              <w:t>0.9594</w:t>
            </w:r>
          </w:p>
        </w:tc>
        <w:tc>
          <w:tcPr>
            <w:tcW w:type="dxa" w:w="1584"/>
          </w:tcPr>
          <w:p>
            <w:pPr>
              <w:spacing w:after="0"/>
              <w:jc w:val="center"/>
            </w:pPr>
            <w:r>
              <w:rPr>
                <w:rFonts w:ascii="Times New Roman" w:hAnsi="Times New Roman" w:cs="Times New Roman"/>
                <w:sz w:val="20"/>
              </w:rPr>
              <w:t>0.9702</w:t>
            </w:r>
          </w:p>
        </w:tc>
        <w:tc>
          <w:tcPr>
            <w:tcW w:type="dxa" w:w="1584"/>
          </w:tcPr>
          <w:p>
            <w:pPr>
              <w:spacing w:after="0"/>
              <w:jc w:val="center"/>
            </w:pPr>
            <w:r>
              <w:rPr>
                <w:rFonts w:ascii="Times New Roman" w:hAnsi="Times New Roman" w:cs="Times New Roman"/>
                <w:sz w:val="20"/>
              </w:rPr>
              <w:t>18,118</w:t>
            </w:r>
          </w:p>
        </w:tc>
      </w:tr>
      <w:tr>
        <w:tc>
          <w:tcPr>
            <w:tcW w:type="dxa" w:w="2304"/>
          </w:tcPr>
          <w:p>
            <w:pPr>
              <w:spacing w:after="0"/>
              <w:jc w:val="left"/>
            </w:pPr>
            <w:r>
              <w:rPr>
                <w:rFonts w:ascii="Times New Roman" w:hAnsi="Times New Roman" w:cs="Times New Roman"/>
                <w:sz w:val="20"/>
              </w:rPr>
              <w:t>S</w:t>
            </w:r>
          </w:p>
        </w:tc>
        <w:tc>
          <w:tcPr>
            <w:tcW w:type="dxa" w:w="1584"/>
          </w:tcPr>
          <w:p>
            <w:pPr>
              <w:spacing w:after="0"/>
              <w:jc w:val="center"/>
            </w:pPr>
            <w:r>
              <w:rPr>
                <w:rFonts w:ascii="Times New Roman" w:hAnsi="Times New Roman" w:cs="Times New Roman"/>
                <w:sz w:val="20"/>
              </w:rPr>
              <w:t>0.5586</w:t>
            </w:r>
          </w:p>
        </w:tc>
        <w:tc>
          <w:tcPr>
            <w:tcW w:type="dxa" w:w="1584"/>
          </w:tcPr>
          <w:p>
            <w:pPr>
              <w:spacing w:after="0"/>
              <w:jc w:val="center"/>
            </w:pPr>
            <w:r>
              <w:rPr>
                <w:rFonts w:ascii="Times New Roman" w:hAnsi="Times New Roman" w:cs="Times New Roman"/>
                <w:sz w:val="20"/>
              </w:rPr>
              <w:t>0.6691</w:t>
            </w:r>
          </w:p>
        </w:tc>
        <w:tc>
          <w:tcPr>
            <w:tcW w:type="dxa" w:w="1584"/>
          </w:tcPr>
          <w:p>
            <w:pPr>
              <w:spacing w:after="0"/>
              <w:jc w:val="center"/>
            </w:pPr>
            <w:r>
              <w:rPr>
                <w:rFonts w:ascii="Times New Roman" w:hAnsi="Times New Roman" w:cs="Times New Roman"/>
                <w:sz w:val="20"/>
              </w:rPr>
              <w:t>0.6088</w:t>
            </w:r>
          </w:p>
        </w:tc>
        <w:tc>
          <w:tcPr>
            <w:tcW w:type="dxa" w:w="1584"/>
          </w:tcPr>
          <w:p>
            <w:pPr>
              <w:spacing w:after="0"/>
              <w:jc w:val="center"/>
            </w:pPr>
            <w:r>
              <w:rPr>
                <w:rFonts w:ascii="Times New Roman" w:hAnsi="Times New Roman" w:cs="Times New Roman"/>
                <w:sz w:val="20"/>
              </w:rPr>
              <w:t>556</w:t>
            </w:r>
          </w:p>
        </w:tc>
      </w:tr>
      <w:tr>
        <w:tc>
          <w:tcPr>
            <w:tcW w:type="dxa" w:w="2304"/>
          </w:tcPr>
          <w:p>
            <w:pPr>
              <w:spacing w:after="0"/>
              <w:jc w:val="left"/>
            </w:pPr>
            <w:r>
              <w:rPr>
                <w:rFonts w:ascii="Times New Roman" w:hAnsi="Times New Roman" w:cs="Times New Roman"/>
                <w:sz w:val="20"/>
              </w:rPr>
              <w:t>V</w:t>
            </w:r>
          </w:p>
        </w:tc>
        <w:tc>
          <w:tcPr>
            <w:tcW w:type="dxa" w:w="1584"/>
          </w:tcPr>
          <w:p>
            <w:pPr>
              <w:spacing w:after="0"/>
              <w:jc w:val="center"/>
            </w:pPr>
            <w:r>
              <w:rPr>
                <w:rFonts w:ascii="Times New Roman" w:hAnsi="Times New Roman" w:cs="Times New Roman"/>
                <w:sz w:val="20"/>
              </w:rPr>
              <w:t>0.8713</w:t>
            </w:r>
          </w:p>
        </w:tc>
        <w:tc>
          <w:tcPr>
            <w:tcW w:type="dxa" w:w="1584"/>
          </w:tcPr>
          <w:p>
            <w:pPr>
              <w:spacing w:after="0"/>
              <w:jc w:val="center"/>
            </w:pPr>
            <w:r>
              <w:rPr>
                <w:rFonts w:ascii="Times New Roman" w:hAnsi="Times New Roman" w:cs="Times New Roman"/>
                <w:sz w:val="20"/>
              </w:rPr>
              <w:t>0.8605</w:t>
            </w:r>
          </w:p>
        </w:tc>
        <w:tc>
          <w:tcPr>
            <w:tcW w:type="dxa" w:w="1584"/>
          </w:tcPr>
          <w:p>
            <w:pPr>
              <w:spacing w:after="0"/>
              <w:jc w:val="center"/>
            </w:pPr>
            <w:r>
              <w:rPr>
                <w:rFonts w:ascii="Times New Roman" w:hAnsi="Times New Roman" w:cs="Times New Roman"/>
                <w:sz w:val="20"/>
              </w:rPr>
              <w:t>0.8659</w:t>
            </w:r>
          </w:p>
        </w:tc>
        <w:tc>
          <w:tcPr>
            <w:tcW w:type="dxa" w:w="1584"/>
          </w:tcPr>
          <w:p>
            <w:pPr>
              <w:spacing w:after="0"/>
              <w:jc w:val="center"/>
            </w:pPr>
            <w:r>
              <w:rPr>
                <w:rFonts w:ascii="Times New Roman" w:hAnsi="Times New Roman" w:cs="Times New Roman"/>
                <w:sz w:val="20"/>
              </w:rPr>
              <w:t>1,448</w:t>
            </w:r>
          </w:p>
        </w:tc>
      </w:tr>
      <w:tr>
        <w:tc>
          <w:tcPr>
            <w:tcW w:type="dxa" w:w="2304"/>
          </w:tcPr>
          <w:p>
            <w:pPr>
              <w:spacing w:after="0"/>
              <w:jc w:val="left"/>
            </w:pPr>
            <w:r>
              <w:rPr>
                <w:rFonts w:ascii="Times New Roman" w:hAnsi="Times New Roman" w:cs="Times New Roman"/>
                <w:sz w:val="20"/>
              </w:rPr>
              <w:t>F</w:t>
            </w:r>
          </w:p>
        </w:tc>
        <w:tc>
          <w:tcPr>
            <w:tcW w:type="dxa" w:w="1584"/>
          </w:tcPr>
          <w:p>
            <w:pPr>
              <w:spacing w:after="0"/>
              <w:jc w:val="center"/>
            </w:pPr>
            <w:r>
              <w:rPr>
                <w:rFonts w:ascii="Times New Roman" w:hAnsi="Times New Roman" w:cs="Times New Roman"/>
                <w:sz w:val="20"/>
              </w:rPr>
              <w:t>0.2602</w:t>
            </w:r>
          </w:p>
        </w:tc>
        <w:tc>
          <w:tcPr>
            <w:tcW w:type="dxa" w:w="1584"/>
          </w:tcPr>
          <w:p>
            <w:pPr>
              <w:spacing w:after="0"/>
              <w:jc w:val="center"/>
            </w:pPr>
            <w:r>
              <w:rPr>
                <w:rFonts w:ascii="Times New Roman" w:hAnsi="Times New Roman" w:cs="Times New Roman"/>
                <w:sz w:val="20"/>
              </w:rPr>
              <w:t>0.8642</w:t>
            </w:r>
          </w:p>
        </w:tc>
        <w:tc>
          <w:tcPr>
            <w:tcW w:type="dxa" w:w="1584"/>
          </w:tcPr>
          <w:p>
            <w:pPr>
              <w:spacing w:after="0"/>
              <w:jc w:val="center"/>
            </w:pPr>
            <w:r>
              <w:rPr>
                <w:rFonts w:ascii="Times New Roman" w:hAnsi="Times New Roman" w:cs="Times New Roman"/>
                <w:sz w:val="20"/>
              </w:rPr>
              <w:t>0.4000</w:t>
            </w:r>
          </w:p>
        </w:tc>
        <w:tc>
          <w:tcPr>
            <w:tcW w:type="dxa" w:w="1584"/>
          </w:tcPr>
          <w:p>
            <w:pPr>
              <w:spacing w:after="0"/>
              <w:jc w:val="center"/>
            </w:pPr>
            <w:r>
              <w:rPr>
                <w:rFonts w:ascii="Times New Roman" w:hAnsi="Times New Roman" w:cs="Times New Roman"/>
                <w:sz w:val="20"/>
              </w:rPr>
              <w:t>162</w:t>
            </w:r>
          </w:p>
        </w:tc>
      </w:tr>
      <w:tr>
        <w:tc>
          <w:tcPr>
            <w:tcW w:type="dxa" w:w="2304"/>
          </w:tcPr>
          <w:p>
            <w:pPr>
              <w:spacing w:after="0"/>
              <w:jc w:val="left"/>
            </w:pPr>
            <w:r>
              <w:rPr>
                <w:rFonts w:ascii="Times New Roman" w:hAnsi="Times New Roman" w:cs="Times New Roman"/>
                <w:sz w:val="20"/>
              </w:rPr>
              <w:t>Q</w:t>
            </w:r>
          </w:p>
        </w:tc>
        <w:tc>
          <w:tcPr>
            <w:tcW w:type="dxa" w:w="1584"/>
          </w:tcPr>
          <w:p>
            <w:pPr>
              <w:spacing w:after="0"/>
              <w:jc w:val="center"/>
            </w:pPr>
            <w:r>
              <w:rPr>
                <w:rFonts w:ascii="Times New Roman" w:hAnsi="Times New Roman" w:cs="Times New Roman"/>
                <w:sz w:val="20"/>
              </w:rPr>
              <w:t>0.9896</w:t>
            </w:r>
          </w:p>
        </w:tc>
        <w:tc>
          <w:tcPr>
            <w:tcW w:type="dxa" w:w="1584"/>
          </w:tcPr>
          <w:p>
            <w:pPr>
              <w:spacing w:after="0"/>
              <w:jc w:val="center"/>
            </w:pPr>
            <w:r>
              <w:rPr>
                <w:rFonts w:ascii="Times New Roman" w:hAnsi="Times New Roman" w:cs="Times New Roman"/>
                <w:sz w:val="20"/>
              </w:rPr>
              <w:t>0.9502</w:t>
            </w:r>
          </w:p>
        </w:tc>
        <w:tc>
          <w:tcPr>
            <w:tcW w:type="dxa" w:w="1584"/>
          </w:tcPr>
          <w:p>
            <w:pPr>
              <w:spacing w:after="0"/>
              <w:jc w:val="center"/>
            </w:pPr>
            <w:r>
              <w:rPr>
                <w:rFonts w:ascii="Times New Roman" w:hAnsi="Times New Roman" w:cs="Times New Roman"/>
                <w:sz w:val="20"/>
              </w:rPr>
              <w:t>0.9695</w:t>
            </w:r>
          </w:p>
        </w:tc>
        <w:tc>
          <w:tcPr>
            <w:tcW w:type="dxa" w:w="1584"/>
          </w:tcPr>
          <w:p>
            <w:pPr>
              <w:spacing w:after="0"/>
              <w:jc w:val="center"/>
            </w:pPr>
            <w:r>
              <w:rPr>
                <w:rFonts w:ascii="Times New Roman" w:hAnsi="Times New Roman" w:cs="Times New Roman"/>
                <w:sz w:val="20"/>
              </w:rPr>
              <w:t>1,608</w:t>
            </w:r>
          </w:p>
        </w:tc>
      </w:tr>
      <w:tr>
        <w:tc>
          <w:tcPr>
            <w:tcW w:type="dxa" w:w="2304"/>
          </w:tcPr>
          <w:p>
            <w:pPr>
              <w:spacing w:after="0"/>
              <w:jc w:val="left"/>
            </w:pPr>
            <w:r>
              <w:rPr>
                <w:rFonts w:ascii="Times New Roman" w:hAnsi="Times New Roman" w:cs="Times New Roman"/>
                <w:b/>
                <w:sz w:val="20"/>
              </w:rPr>
              <w:t>Macro average</w:t>
            </w:r>
          </w:p>
        </w:tc>
        <w:tc>
          <w:tcPr>
            <w:tcW w:type="dxa" w:w="1584"/>
          </w:tcPr>
          <w:p>
            <w:pPr>
              <w:spacing w:after="0"/>
              <w:jc w:val="center"/>
            </w:pPr>
            <w:r>
              <w:rPr>
                <w:rFonts w:ascii="Times New Roman" w:hAnsi="Times New Roman" w:cs="Times New Roman"/>
                <w:b/>
                <w:sz w:val="20"/>
              </w:rPr>
              <w:t>0.7322</w:t>
            </w:r>
          </w:p>
        </w:tc>
        <w:tc>
          <w:tcPr>
            <w:tcW w:type="dxa" w:w="1584"/>
          </w:tcPr>
          <w:p>
            <w:pPr>
              <w:spacing w:after="0"/>
              <w:jc w:val="center"/>
            </w:pPr>
            <w:r>
              <w:rPr>
                <w:rFonts w:ascii="Times New Roman" w:hAnsi="Times New Roman" w:cs="Times New Roman"/>
                <w:b/>
                <w:sz w:val="20"/>
              </w:rPr>
              <w:t>0.8607</w:t>
            </w:r>
          </w:p>
        </w:tc>
        <w:tc>
          <w:tcPr>
            <w:tcW w:type="dxa" w:w="1584"/>
          </w:tcPr>
          <w:p>
            <w:pPr>
              <w:spacing w:after="0"/>
              <w:jc w:val="center"/>
            </w:pPr>
            <w:r>
              <w:rPr>
                <w:rFonts w:ascii="Times New Roman" w:hAnsi="Times New Roman" w:cs="Times New Roman"/>
                <w:b/>
                <w:sz w:val="20"/>
              </w:rPr>
              <w:t>0.7629</w:t>
            </w:r>
          </w:p>
        </w:tc>
        <w:tc>
          <w:tcPr>
            <w:tcW w:type="dxa" w:w="1584"/>
          </w:tcPr>
          <w:p>
            <w:pPr>
              <w:spacing w:after="0"/>
              <w:jc w:val="center"/>
            </w:pPr>
            <w:r>
              <w:rPr>
                <w:rFonts w:ascii="Times New Roman" w:hAnsi="Times New Roman" w:cs="Times New Roman"/>
                <w:b/>
                <w:sz w:val="20"/>
              </w:rPr>
              <w:t>21,892</w:t>
            </w:r>
          </w:p>
        </w:tc>
      </w:tr>
    </w:tbl>
    <w:p>
      <w:pPr>
        <w:jc w:val="both"/>
      </w:pPr>
      <w:r>
        <w:rPr>
          <w:rFonts w:ascii="Times New Roman" w:hAnsi="Times New Roman" w:cs="Times New Roman"/>
          <w:sz w:val="24"/>
        </w:rPr>
      </w:r>
    </w:p>
    <w:p>
      <w:pPr>
        <w:keepNext/>
        <w:jc w:val="center"/>
      </w:pPr>
      <w:r>
        <w:drawing>
          <wp:inline xmlns:a="http://schemas.openxmlformats.org/drawingml/2006/main" xmlns:pic="http://schemas.openxmlformats.org/drawingml/2006/picture">
            <wp:extent cx="5486400" cy="2136027"/>
            <wp:docPr id="2" name="Picture 2"/>
            <wp:cNvGraphicFramePr>
              <a:graphicFrameLocks noChangeAspect="1"/>
            </wp:cNvGraphicFramePr>
            <a:graphic>
              <a:graphicData uri="http://schemas.openxmlformats.org/drawingml/2006/picture">
                <pic:pic>
                  <pic:nvPicPr>
                    <pic:cNvPr id="0" name="V1_confusion_matrix.png"/>
                    <pic:cNvPicPr/>
                  </pic:nvPicPr>
                  <pic:blipFill>
                    <a:blip r:embed="rId9"/>
                    <a:stretch>
                      <a:fillRect/>
                    </a:stretch>
                  </pic:blipFill>
                  <pic:spPr>
                    <a:xfrm>
                      <a:off x="0" y="0"/>
                      <a:ext cx="5486400" cy="2136027"/>
                    </a:xfrm>
                    <a:prstGeom prst="rect"/>
                  </pic:spPr>
                </pic:pic>
              </a:graphicData>
            </a:graphic>
          </wp:inline>
        </w:drawing>
      </w:r>
    </w:p>
    <w:p>
      <w:pPr>
        <w:spacing w:before="0"/>
        <w:jc w:val="center"/>
      </w:pPr>
      <w:r>
        <w:rPr>
          <w:rFonts w:ascii="Times New Roman" w:hAnsi="Times New Roman" w:cs="Times New Roman"/>
          <w:b/>
          <w:sz w:val="24"/>
        </w:rPr>
        <w:t>Figure 2: Confusion matrix of the V1 baseline (left: counts; right: row-normalised, diagonal = recall)</w:t>
      </w:r>
    </w:p>
    <w:p>
      <w:pPr>
        <w:jc w:val="both"/>
      </w:pPr>
      <w:r>
        <w:rPr>
          <w:rFonts w:ascii="Times New Roman" w:hAnsi="Times New Roman" w:cs="Times New Roman"/>
          <w:sz w:val="24"/>
        </w:rPr>
        <w:t>The baseline reached 94.41% accuracy but only 76.29% macro F1. Class weighting gave high recall on the rare classes (F recall 86.4%), but at the cost of precision: of the 538 beats predicted as F, only 140 were truly F (293 were N), giving an F precision of 26.0%. The largest error for S was S → N (163 of 556 S beats, 29%). Training was also unstable: validation accuracy jumped between 14.5% and 95.1% from one epoch to the next while training loss fell smoothly.</w:t>
      </w:r>
    </w:p>
    <w:p>
      <w:pPr>
        <w:keepNext/>
        <w:spacing w:before="120"/>
        <w:jc w:val="left"/>
      </w:pPr>
      <w:r>
        <w:rPr>
          <w:rFonts w:ascii="Times New Roman" w:hAnsi="Times New Roman" w:cs="Times New Roman"/>
          <w:b/>
          <w:sz w:val="24"/>
        </w:rPr>
        <w:t>V2: Step-by-step Improvements</w:t>
      </w:r>
    </w:p>
    <w:p>
      <w:pPr>
        <w:jc w:val="both"/>
      </w:pPr>
      <w:r>
        <w:rPr>
          <w:rFonts w:ascii="Times New Roman" w:hAnsi="Times New Roman" w:cs="Times New Roman"/>
          <w:sz w:val="24"/>
        </w:rPr>
        <w:t>Each V2 experiment keeps the same data split and seed as V1 and adds one change to the previous experiment, so that the effect of each change can be seen. The test set was never used to choose an epoch, a model or a threshold. The changes were: E1, choose the best epoch by validation macro F1 instead of validation loss; E2, lower learning rate (5×10⁻⁴), gradient clipping (norm 1.0) and batch normalisation momentum 0.9; E3, square-root class weights (F:N ratio 10.6:1 instead of 113:1); E4, light training-time augmentation (amplitude scaling ±10%, Gaussian noise σ = 0.01, time shift ±3 samples); and E5, a residual CNN [36] with three residual blocks (185,477 parameters). Finally, the experiment with the highest validation macro F1 (E5) was selected and per-class probability scale factors were tuned on the validation set; the only factor that changed was N × 3. Table 4 and Figure 3 summarise the results.</w:t>
      </w:r>
    </w:p>
    <w:p>
      <w:pPr>
        <w:keepNext/>
        <w:spacing w:before="120"/>
        <w:jc w:val="center"/>
      </w:pPr>
      <w:r>
        <w:rPr>
          <w:rFonts w:ascii="Times New Roman" w:hAnsi="Times New Roman" w:cs="Times New Roman"/>
          <w:b/>
          <w:sz w:val="24"/>
        </w:rPr>
        <w:t>Table 4: Results of the step-by-step experiments (test set,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720"/>
          </w:tcPr>
          <w:p>
            <w:pPr>
              <w:spacing w:after="0"/>
              <w:jc w:val="left"/>
            </w:pPr>
            <w:r>
              <w:rPr>
                <w:rFonts w:ascii="Times New Roman" w:hAnsi="Times New Roman" w:cs="Times New Roman"/>
                <w:b/>
                <w:sz w:val="20"/>
              </w:rPr>
              <w:t>ID</w:t>
            </w:r>
          </w:p>
        </w:tc>
        <w:tc>
          <w:tcPr>
            <w:tcW w:type="dxa" w:w="2880"/>
          </w:tcPr>
          <w:p>
            <w:pPr>
              <w:spacing w:after="0"/>
              <w:jc w:val="center"/>
            </w:pPr>
            <w:r>
              <w:rPr>
                <w:rFonts w:ascii="Times New Roman" w:hAnsi="Times New Roman" w:cs="Times New Roman"/>
                <w:b/>
                <w:sz w:val="20"/>
              </w:rPr>
              <w:t>Change</w:t>
            </w:r>
          </w:p>
        </w:tc>
        <w:tc>
          <w:tcPr>
            <w:tcW w:type="dxa" w:w="864"/>
          </w:tcPr>
          <w:p>
            <w:pPr>
              <w:spacing w:after="0"/>
              <w:jc w:val="center"/>
            </w:pPr>
            <w:r>
              <w:rPr>
                <w:rFonts w:ascii="Times New Roman" w:hAnsi="Times New Roman" w:cs="Times New Roman"/>
                <w:b/>
                <w:sz w:val="20"/>
              </w:rPr>
              <w:t>Acc.</w:t>
            </w:r>
          </w:p>
        </w:tc>
        <w:tc>
          <w:tcPr>
            <w:tcW w:type="dxa" w:w="1080"/>
          </w:tcPr>
          <w:p>
            <w:pPr>
              <w:spacing w:after="0"/>
              <w:jc w:val="center"/>
            </w:pPr>
            <w:r>
              <w:rPr>
                <w:rFonts w:ascii="Times New Roman" w:hAnsi="Times New Roman" w:cs="Times New Roman"/>
                <w:b/>
                <w:sz w:val="20"/>
              </w:rPr>
              <w:t>Macro F1</w:t>
            </w:r>
          </w:p>
        </w:tc>
        <w:tc>
          <w:tcPr>
            <w:tcW w:type="dxa" w:w="864"/>
          </w:tcPr>
          <w:p>
            <w:pPr>
              <w:spacing w:after="0"/>
              <w:jc w:val="center"/>
            </w:pPr>
            <w:r>
              <w:rPr>
                <w:rFonts w:ascii="Times New Roman" w:hAnsi="Times New Roman" w:cs="Times New Roman"/>
                <w:b/>
                <w:sz w:val="20"/>
              </w:rPr>
              <w:t>S F1</w:t>
            </w:r>
          </w:p>
        </w:tc>
        <w:tc>
          <w:tcPr>
            <w:tcW w:type="dxa" w:w="864"/>
          </w:tcPr>
          <w:p>
            <w:pPr>
              <w:spacing w:after="0"/>
              <w:jc w:val="center"/>
            </w:pPr>
            <w:r>
              <w:rPr>
                <w:rFonts w:ascii="Times New Roman" w:hAnsi="Times New Roman" w:cs="Times New Roman"/>
                <w:b/>
                <w:sz w:val="20"/>
              </w:rPr>
              <w:t>F F1</w:t>
            </w:r>
          </w:p>
        </w:tc>
        <w:tc>
          <w:tcPr>
            <w:tcW w:type="dxa" w:w="936"/>
          </w:tcPr>
          <w:p>
            <w:pPr>
              <w:spacing w:after="0"/>
              <w:jc w:val="center"/>
            </w:pPr>
            <w:r>
              <w:rPr>
                <w:rFonts w:ascii="Times New Roman" w:hAnsi="Times New Roman" w:cs="Times New Roman"/>
                <w:b/>
                <w:sz w:val="20"/>
              </w:rPr>
              <w:t>Prec. F</w:t>
            </w:r>
          </w:p>
        </w:tc>
        <w:tc>
          <w:tcPr>
            <w:tcW w:type="dxa" w:w="864"/>
          </w:tcPr>
          <w:p>
            <w:pPr>
              <w:spacing w:after="0"/>
              <w:jc w:val="center"/>
            </w:pPr>
            <w:r>
              <w:rPr>
                <w:rFonts w:ascii="Times New Roman" w:hAnsi="Times New Roman" w:cs="Times New Roman"/>
                <w:b/>
                <w:sz w:val="20"/>
              </w:rPr>
              <w:t>Rec. F</w:t>
            </w:r>
          </w:p>
        </w:tc>
      </w:tr>
      <w:tr>
        <w:tc>
          <w:tcPr>
            <w:tcW w:type="dxa" w:w="720"/>
          </w:tcPr>
          <w:p>
            <w:pPr>
              <w:spacing w:after="0"/>
              <w:jc w:val="left"/>
            </w:pPr>
            <w:r>
              <w:rPr>
                <w:rFonts w:ascii="Times New Roman" w:hAnsi="Times New Roman" w:cs="Times New Roman"/>
                <w:sz w:val="20"/>
              </w:rPr>
              <w:t>B0</w:t>
            </w:r>
          </w:p>
        </w:tc>
        <w:tc>
          <w:tcPr>
            <w:tcW w:type="dxa" w:w="2880"/>
          </w:tcPr>
          <w:p>
            <w:pPr>
              <w:spacing w:after="0"/>
              <w:jc w:val="center"/>
            </w:pPr>
            <w:r>
              <w:rPr>
                <w:rFonts w:ascii="Times New Roman" w:hAnsi="Times New Roman" w:cs="Times New Roman"/>
                <w:sz w:val="20"/>
              </w:rPr>
              <w:t>V1 baseline</w:t>
            </w:r>
          </w:p>
        </w:tc>
        <w:tc>
          <w:tcPr>
            <w:tcW w:type="dxa" w:w="864"/>
          </w:tcPr>
          <w:p>
            <w:pPr>
              <w:spacing w:after="0"/>
              <w:jc w:val="center"/>
            </w:pPr>
            <w:r>
              <w:rPr>
                <w:rFonts w:ascii="Times New Roman" w:hAnsi="Times New Roman" w:cs="Times New Roman"/>
                <w:sz w:val="20"/>
              </w:rPr>
              <w:t>94.41</w:t>
            </w:r>
          </w:p>
        </w:tc>
        <w:tc>
          <w:tcPr>
            <w:tcW w:type="dxa" w:w="1080"/>
          </w:tcPr>
          <w:p>
            <w:pPr>
              <w:spacing w:after="0"/>
              <w:jc w:val="center"/>
            </w:pPr>
            <w:r>
              <w:rPr>
                <w:rFonts w:ascii="Times New Roman" w:hAnsi="Times New Roman" w:cs="Times New Roman"/>
                <w:sz w:val="20"/>
              </w:rPr>
              <w:t>76.29</w:t>
            </w:r>
          </w:p>
        </w:tc>
        <w:tc>
          <w:tcPr>
            <w:tcW w:type="dxa" w:w="864"/>
          </w:tcPr>
          <w:p>
            <w:pPr>
              <w:spacing w:after="0"/>
              <w:jc w:val="center"/>
            </w:pPr>
            <w:r>
              <w:rPr>
                <w:rFonts w:ascii="Times New Roman" w:hAnsi="Times New Roman" w:cs="Times New Roman"/>
                <w:sz w:val="20"/>
              </w:rPr>
              <w:t>60.90</w:t>
            </w:r>
          </w:p>
        </w:tc>
        <w:tc>
          <w:tcPr>
            <w:tcW w:type="dxa" w:w="864"/>
          </w:tcPr>
          <w:p>
            <w:pPr>
              <w:spacing w:after="0"/>
              <w:jc w:val="center"/>
            </w:pPr>
            <w:r>
              <w:rPr>
                <w:rFonts w:ascii="Times New Roman" w:hAnsi="Times New Roman" w:cs="Times New Roman"/>
                <w:sz w:val="20"/>
              </w:rPr>
              <w:t>40.00</w:t>
            </w:r>
          </w:p>
        </w:tc>
        <w:tc>
          <w:tcPr>
            <w:tcW w:type="dxa" w:w="936"/>
          </w:tcPr>
          <w:p>
            <w:pPr>
              <w:spacing w:after="0"/>
              <w:jc w:val="center"/>
            </w:pPr>
            <w:r>
              <w:rPr>
                <w:rFonts w:ascii="Times New Roman" w:hAnsi="Times New Roman" w:cs="Times New Roman"/>
                <w:sz w:val="20"/>
              </w:rPr>
              <w:t>26.02</w:t>
            </w:r>
          </w:p>
        </w:tc>
        <w:tc>
          <w:tcPr>
            <w:tcW w:type="dxa" w:w="864"/>
          </w:tcPr>
          <w:p>
            <w:pPr>
              <w:spacing w:after="0"/>
              <w:jc w:val="center"/>
            </w:pPr>
            <w:r>
              <w:rPr>
                <w:rFonts w:ascii="Times New Roman" w:hAnsi="Times New Roman" w:cs="Times New Roman"/>
                <w:sz w:val="20"/>
              </w:rPr>
              <w:t>86.42</w:t>
            </w:r>
          </w:p>
        </w:tc>
      </w:tr>
      <w:tr>
        <w:tc>
          <w:tcPr>
            <w:tcW w:type="dxa" w:w="720"/>
          </w:tcPr>
          <w:p>
            <w:pPr>
              <w:spacing w:after="0"/>
              <w:jc w:val="left"/>
            </w:pPr>
            <w:r>
              <w:rPr>
                <w:rFonts w:ascii="Times New Roman" w:hAnsi="Times New Roman" w:cs="Times New Roman"/>
                <w:sz w:val="20"/>
              </w:rPr>
              <w:t>E1</w:t>
            </w:r>
          </w:p>
        </w:tc>
        <w:tc>
          <w:tcPr>
            <w:tcW w:type="dxa" w:w="2880"/>
          </w:tcPr>
          <w:p>
            <w:pPr>
              <w:spacing w:after="0"/>
              <w:jc w:val="center"/>
            </w:pPr>
            <w:r>
              <w:rPr>
                <w:rFonts w:ascii="Times New Roman" w:hAnsi="Times New Roman" w:cs="Times New Roman"/>
                <w:sz w:val="20"/>
              </w:rPr>
              <w:t>Epoch chosen on val. macro F1</w:t>
            </w:r>
          </w:p>
        </w:tc>
        <w:tc>
          <w:tcPr>
            <w:tcW w:type="dxa" w:w="864"/>
          </w:tcPr>
          <w:p>
            <w:pPr>
              <w:spacing w:after="0"/>
              <w:jc w:val="center"/>
            </w:pPr>
            <w:r>
              <w:rPr>
                <w:rFonts w:ascii="Times New Roman" w:hAnsi="Times New Roman" w:cs="Times New Roman"/>
                <w:sz w:val="20"/>
              </w:rPr>
              <w:t>96.28</w:t>
            </w:r>
          </w:p>
        </w:tc>
        <w:tc>
          <w:tcPr>
            <w:tcW w:type="dxa" w:w="1080"/>
          </w:tcPr>
          <w:p>
            <w:pPr>
              <w:spacing w:after="0"/>
              <w:jc w:val="center"/>
            </w:pPr>
            <w:r>
              <w:rPr>
                <w:rFonts w:ascii="Times New Roman" w:hAnsi="Times New Roman" w:cs="Times New Roman"/>
                <w:sz w:val="20"/>
              </w:rPr>
              <w:t>83.96</w:t>
            </w:r>
          </w:p>
        </w:tc>
        <w:tc>
          <w:tcPr>
            <w:tcW w:type="dxa" w:w="864"/>
          </w:tcPr>
          <w:p>
            <w:pPr>
              <w:spacing w:after="0"/>
              <w:jc w:val="center"/>
            </w:pPr>
            <w:r>
              <w:rPr>
                <w:rFonts w:ascii="Times New Roman" w:hAnsi="Times New Roman" w:cs="Times New Roman"/>
                <w:sz w:val="20"/>
              </w:rPr>
              <w:t>63.48</w:t>
            </w:r>
          </w:p>
        </w:tc>
        <w:tc>
          <w:tcPr>
            <w:tcW w:type="dxa" w:w="864"/>
          </w:tcPr>
          <w:p>
            <w:pPr>
              <w:spacing w:after="0"/>
              <w:jc w:val="center"/>
            </w:pPr>
            <w:r>
              <w:rPr>
                <w:rFonts w:ascii="Times New Roman" w:hAnsi="Times New Roman" w:cs="Times New Roman"/>
                <w:sz w:val="20"/>
              </w:rPr>
              <w:t>68.12</w:t>
            </w:r>
          </w:p>
        </w:tc>
        <w:tc>
          <w:tcPr>
            <w:tcW w:type="dxa" w:w="936"/>
          </w:tcPr>
          <w:p>
            <w:pPr>
              <w:spacing w:after="0"/>
              <w:jc w:val="center"/>
            </w:pPr>
            <w:r>
              <w:rPr>
                <w:rFonts w:ascii="Times New Roman" w:hAnsi="Times New Roman" w:cs="Times New Roman"/>
                <w:sz w:val="20"/>
              </w:rPr>
              <w:t>55.95</w:t>
            </w:r>
          </w:p>
        </w:tc>
        <w:tc>
          <w:tcPr>
            <w:tcW w:type="dxa" w:w="864"/>
          </w:tcPr>
          <w:p>
            <w:pPr>
              <w:spacing w:after="0"/>
              <w:jc w:val="center"/>
            </w:pPr>
            <w:r>
              <w:rPr>
                <w:rFonts w:ascii="Times New Roman" w:hAnsi="Times New Roman" w:cs="Times New Roman"/>
                <w:sz w:val="20"/>
              </w:rPr>
              <w:t>87.04</w:t>
            </w:r>
          </w:p>
        </w:tc>
      </w:tr>
      <w:tr>
        <w:tc>
          <w:tcPr>
            <w:tcW w:type="dxa" w:w="720"/>
          </w:tcPr>
          <w:p>
            <w:pPr>
              <w:spacing w:after="0"/>
              <w:jc w:val="left"/>
            </w:pPr>
            <w:r>
              <w:rPr>
                <w:rFonts w:ascii="Times New Roman" w:hAnsi="Times New Roman" w:cs="Times New Roman"/>
                <w:sz w:val="20"/>
              </w:rPr>
              <w:t>E2</w:t>
            </w:r>
          </w:p>
        </w:tc>
        <w:tc>
          <w:tcPr>
            <w:tcW w:type="dxa" w:w="2880"/>
          </w:tcPr>
          <w:p>
            <w:pPr>
              <w:spacing w:after="0"/>
              <w:jc w:val="center"/>
            </w:pPr>
            <w:r>
              <w:rPr>
                <w:rFonts w:ascii="Times New Roman" w:hAnsi="Times New Roman" w:cs="Times New Roman"/>
                <w:sz w:val="20"/>
              </w:rPr>
              <w:t>+ lower LR, clipping, BN 0.9</w:t>
            </w:r>
          </w:p>
        </w:tc>
        <w:tc>
          <w:tcPr>
            <w:tcW w:type="dxa" w:w="864"/>
          </w:tcPr>
          <w:p>
            <w:pPr>
              <w:spacing w:after="0"/>
              <w:jc w:val="center"/>
            </w:pPr>
            <w:r>
              <w:rPr>
                <w:rFonts w:ascii="Times New Roman" w:hAnsi="Times New Roman" w:cs="Times New Roman"/>
                <w:sz w:val="20"/>
              </w:rPr>
              <w:t>93.58</w:t>
            </w:r>
          </w:p>
        </w:tc>
        <w:tc>
          <w:tcPr>
            <w:tcW w:type="dxa" w:w="1080"/>
          </w:tcPr>
          <w:p>
            <w:pPr>
              <w:spacing w:after="0"/>
              <w:jc w:val="center"/>
            </w:pPr>
            <w:r>
              <w:rPr>
                <w:rFonts w:ascii="Times New Roman" w:hAnsi="Times New Roman" w:cs="Times New Roman"/>
                <w:sz w:val="20"/>
              </w:rPr>
              <w:t>78.30</w:t>
            </w:r>
          </w:p>
        </w:tc>
        <w:tc>
          <w:tcPr>
            <w:tcW w:type="dxa" w:w="864"/>
          </w:tcPr>
          <w:p>
            <w:pPr>
              <w:spacing w:after="0"/>
              <w:jc w:val="center"/>
            </w:pPr>
            <w:r>
              <w:rPr>
                <w:rFonts w:ascii="Times New Roman" w:hAnsi="Times New Roman" w:cs="Times New Roman"/>
                <w:sz w:val="20"/>
              </w:rPr>
              <w:t>49.13</w:t>
            </w:r>
          </w:p>
        </w:tc>
        <w:tc>
          <w:tcPr>
            <w:tcW w:type="dxa" w:w="864"/>
          </w:tcPr>
          <w:p>
            <w:pPr>
              <w:spacing w:after="0"/>
              <w:jc w:val="center"/>
            </w:pPr>
            <w:r>
              <w:rPr>
                <w:rFonts w:ascii="Times New Roman" w:hAnsi="Times New Roman" w:cs="Times New Roman"/>
                <w:sz w:val="20"/>
              </w:rPr>
              <w:t>58.49</w:t>
            </w:r>
          </w:p>
        </w:tc>
        <w:tc>
          <w:tcPr>
            <w:tcW w:type="dxa" w:w="936"/>
          </w:tcPr>
          <w:p>
            <w:pPr>
              <w:spacing w:after="0"/>
              <w:jc w:val="center"/>
            </w:pPr>
            <w:r>
              <w:rPr>
                <w:rFonts w:ascii="Times New Roman" w:hAnsi="Times New Roman" w:cs="Times New Roman"/>
                <w:sz w:val="20"/>
              </w:rPr>
              <w:t>43.73</w:t>
            </w:r>
          </w:p>
        </w:tc>
        <w:tc>
          <w:tcPr>
            <w:tcW w:type="dxa" w:w="864"/>
          </w:tcPr>
          <w:p>
            <w:pPr>
              <w:spacing w:after="0"/>
              <w:jc w:val="center"/>
            </w:pPr>
            <w:r>
              <w:rPr>
                <w:rFonts w:ascii="Times New Roman" w:hAnsi="Times New Roman" w:cs="Times New Roman"/>
                <w:sz w:val="20"/>
              </w:rPr>
              <w:t>88.27</w:t>
            </w:r>
          </w:p>
        </w:tc>
      </w:tr>
      <w:tr>
        <w:tc>
          <w:tcPr>
            <w:tcW w:type="dxa" w:w="720"/>
          </w:tcPr>
          <w:p>
            <w:pPr>
              <w:spacing w:after="0"/>
              <w:jc w:val="left"/>
            </w:pPr>
            <w:r>
              <w:rPr>
                <w:rFonts w:ascii="Times New Roman" w:hAnsi="Times New Roman" w:cs="Times New Roman"/>
                <w:sz w:val="20"/>
              </w:rPr>
              <w:t>E3</w:t>
            </w:r>
          </w:p>
        </w:tc>
        <w:tc>
          <w:tcPr>
            <w:tcW w:type="dxa" w:w="2880"/>
          </w:tcPr>
          <w:p>
            <w:pPr>
              <w:spacing w:after="0"/>
              <w:jc w:val="center"/>
            </w:pPr>
            <w:r>
              <w:rPr>
                <w:rFonts w:ascii="Times New Roman" w:hAnsi="Times New Roman" w:cs="Times New Roman"/>
                <w:sz w:val="20"/>
              </w:rPr>
              <w:t>+ square-root class weights</w:t>
            </w:r>
          </w:p>
        </w:tc>
        <w:tc>
          <w:tcPr>
            <w:tcW w:type="dxa" w:w="864"/>
          </w:tcPr>
          <w:p>
            <w:pPr>
              <w:spacing w:after="0"/>
              <w:jc w:val="center"/>
            </w:pPr>
            <w:r>
              <w:rPr>
                <w:rFonts w:ascii="Times New Roman" w:hAnsi="Times New Roman" w:cs="Times New Roman"/>
                <w:sz w:val="20"/>
              </w:rPr>
              <w:t>97.39</w:t>
            </w:r>
          </w:p>
        </w:tc>
        <w:tc>
          <w:tcPr>
            <w:tcW w:type="dxa" w:w="1080"/>
          </w:tcPr>
          <w:p>
            <w:pPr>
              <w:spacing w:after="0"/>
              <w:jc w:val="center"/>
            </w:pPr>
            <w:r>
              <w:rPr>
                <w:rFonts w:ascii="Times New Roman" w:hAnsi="Times New Roman" w:cs="Times New Roman"/>
                <w:sz w:val="20"/>
              </w:rPr>
              <w:t>87.58</w:t>
            </w:r>
          </w:p>
        </w:tc>
        <w:tc>
          <w:tcPr>
            <w:tcW w:type="dxa" w:w="864"/>
          </w:tcPr>
          <w:p>
            <w:pPr>
              <w:spacing w:after="0"/>
              <w:jc w:val="center"/>
            </w:pPr>
            <w:r>
              <w:rPr>
                <w:rFonts w:ascii="Times New Roman" w:hAnsi="Times New Roman" w:cs="Times New Roman"/>
                <w:sz w:val="20"/>
              </w:rPr>
              <w:t>69.84</w:t>
            </w:r>
          </w:p>
        </w:tc>
        <w:tc>
          <w:tcPr>
            <w:tcW w:type="dxa" w:w="864"/>
          </w:tcPr>
          <w:p>
            <w:pPr>
              <w:spacing w:after="0"/>
              <w:jc w:val="center"/>
            </w:pPr>
            <w:r>
              <w:rPr>
                <w:rFonts w:ascii="Times New Roman" w:hAnsi="Times New Roman" w:cs="Times New Roman"/>
                <w:sz w:val="20"/>
              </w:rPr>
              <w:t>76.97</w:t>
            </w:r>
          </w:p>
        </w:tc>
        <w:tc>
          <w:tcPr>
            <w:tcW w:type="dxa" w:w="936"/>
          </w:tcPr>
          <w:p>
            <w:pPr>
              <w:spacing w:after="0"/>
              <w:jc w:val="center"/>
            </w:pPr>
            <w:r>
              <w:rPr>
                <w:rFonts w:ascii="Times New Roman" w:hAnsi="Times New Roman" w:cs="Times New Roman"/>
                <w:sz w:val="20"/>
              </w:rPr>
              <w:t>75.60</w:t>
            </w:r>
          </w:p>
        </w:tc>
        <w:tc>
          <w:tcPr>
            <w:tcW w:type="dxa" w:w="864"/>
          </w:tcPr>
          <w:p>
            <w:pPr>
              <w:spacing w:after="0"/>
              <w:jc w:val="center"/>
            </w:pPr>
            <w:r>
              <w:rPr>
                <w:rFonts w:ascii="Times New Roman" w:hAnsi="Times New Roman" w:cs="Times New Roman"/>
                <w:sz w:val="20"/>
              </w:rPr>
              <w:t>78.40</w:t>
            </w:r>
          </w:p>
        </w:tc>
      </w:tr>
      <w:tr>
        <w:tc>
          <w:tcPr>
            <w:tcW w:type="dxa" w:w="720"/>
          </w:tcPr>
          <w:p>
            <w:pPr>
              <w:spacing w:after="0"/>
              <w:jc w:val="left"/>
            </w:pPr>
            <w:r>
              <w:rPr>
                <w:rFonts w:ascii="Times New Roman" w:hAnsi="Times New Roman" w:cs="Times New Roman"/>
                <w:sz w:val="20"/>
              </w:rPr>
              <w:t>E4</w:t>
            </w:r>
          </w:p>
        </w:tc>
        <w:tc>
          <w:tcPr>
            <w:tcW w:type="dxa" w:w="2880"/>
          </w:tcPr>
          <w:p>
            <w:pPr>
              <w:spacing w:after="0"/>
              <w:jc w:val="center"/>
            </w:pPr>
            <w:r>
              <w:rPr>
                <w:rFonts w:ascii="Times New Roman" w:hAnsi="Times New Roman" w:cs="Times New Roman"/>
                <w:sz w:val="20"/>
              </w:rPr>
              <w:t>+ light augmentation</w:t>
            </w:r>
          </w:p>
        </w:tc>
        <w:tc>
          <w:tcPr>
            <w:tcW w:type="dxa" w:w="864"/>
          </w:tcPr>
          <w:p>
            <w:pPr>
              <w:spacing w:after="0"/>
              <w:jc w:val="center"/>
            </w:pPr>
            <w:r>
              <w:rPr>
                <w:rFonts w:ascii="Times New Roman" w:hAnsi="Times New Roman" w:cs="Times New Roman"/>
                <w:sz w:val="20"/>
              </w:rPr>
              <w:t>97.02</w:t>
            </w:r>
          </w:p>
        </w:tc>
        <w:tc>
          <w:tcPr>
            <w:tcW w:type="dxa" w:w="1080"/>
          </w:tcPr>
          <w:p>
            <w:pPr>
              <w:spacing w:after="0"/>
              <w:jc w:val="center"/>
            </w:pPr>
            <w:r>
              <w:rPr>
                <w:rFonts w:ascii="Times New Roman" w:hAnsi="Times New Roman" w:cs="Times New Roman"/>
                <w:sz w:val="20"/>
              </w:rPr>
              <w:t>86.20</w:t>
            </w:r>
          </w:p>
        </w:tc>
        <w:tc>
          <w:tcPr>
            <w:tcW w:type="dxa" w:w="864"/>
          </w:tcPr>
          <w:p>
            <w:pPr>
              <w:spacing w:after="0"/>
              <w:jc w:val="center"/>
            </w:pPr>
            <w:r>
              <w:rPr>
                <w:rFonts w:ascii="Times New Roman" w:hAnsi="Times New Roman" w:cs="Times New Roman"/>
                <w:sz w:val="20"/>
              </w:rPr>
              <w:t>66.16</w:t>
            </w:r>
          </w:p>
        </w:tc>
        <w:tc>
          <w:tcPr>
            <w:tcW w:type="dxa" w:w="864"/>
          </w:tcPr>
          <w:p>
            <w:pPr>
              <w:spacing w:after="0"/>
              <w:jc w:val="center"/>
            </w:pPr>
            <w:r>
              <w:rPr>
                <w:rFonts w:ascii="Times New Roman" w:hAnsi="Times New Roman" w:cs="Times New Roman"/>
                <w:sz w:val="20"/>
              </w:rPr>
              <w:t>76.25</w:t>
            </w:r>
          </w:p>
        </w:tc>
        <w:tc>
          <w:tcPr>
            <w:tcW w:type="dxa" w:w="936"/>
          </w:tcPr>
          <w:p>
            <w:pPr>
              <w:spacing w:after="0"/>
              <w:jc w:val="center"/>
            </w:pPr>
            <w:r>
              <w:rPr>
                <w:rFonts w:ascii="Times New Roman" w:hAnsi="Times New Roman" w:cs="Times New Roman"/>
                <w:sz w:val="20"/>
              </w:rPr>
              <w:t>72.63</w:t>
            </w:r>
          </w:p>
        </w:tc>
        <w:tc>
          <w:tcPr>
            <w:tcW w:type="dxa" w:w="864"/>
          </w:tcPr>
          <w:p>
            <w:pPr>
              <w:spacing w:after="0"/>
              <w:jc w:val="center"/>
            </w:pPr>
            <w:r>
              <w:rPr>
                <w:rFonts w:ascii="Times New Roman" w:hAnsi="Times New Roman" w:cs="Times New Roman"/>
                <w:sz w:val="20"/>
              </w:rPr>
              <w:t>80.25</w:t>
            </w:r>
          </w:p>
        </w:tc>
      </w:tr>
      <w:tr>
        <w:tc>
          <w:tcPr>
            <w:tcW w:type="dxa" w:w="720"/>
          </w:tcPr>
          <w:p>
            <w:pPr>
              <w:spacing w:after="0"/>
              <w:jc w:val="left"/>
            </w:pPr>
            <w:r>
              <w:rPr>
                <w:rFonts w:ascii="Times New Roman" w:hAnsi="Times New Roman" w:cs="Times New Roman"/>
                <w:sz w:val="20"/>
              </w:rPr>
              <w:t>E5</w:t>
            </w:r>
          </w:p>
        </w:tc>
        <w:tc>
          <w:tcPr>
            <w:tcW w:type="dxa" w:w="2880"/>
          </w:tcPr>
          <w:p>
            <w:pPr>
              <w:spacing w:after="0"/>
              <w:jc w:val="center"/>
            </w:pPr>
            <w:r>
              <w:rPr>
                <w:rFonts w:ascii="Times New Roman" w:hAnsi="Times New Roman" w:cs="Times New Roman"/>
                <w:sz w:val="20"/>
              </w:rPr>
              <w:t>+ residual network</w:t>
            </w:r>
          </w:p>
        </w:tc>
        <w:tc>
          <w:tcPr>
            <w:tcW w:type="dxa" w:w="864"/>
          </w:tcPr>
          <w:p>
            <w:pPr>
              <w:spacing w:after="0"/>
              <w:jc w:val="center"/>
            </w:pPr>
            <w:r>
              <w:rPr>
                <w:rFonts w:ascii="Times New Roman" w:hAnsi="Times New Roman" w:cs="Times New Roman"/>
                <w:sz w:val="20"/>
              </w:rPr>
              <w:t>98.29</w:t>
            </w:r>
          </w:p>
        </w:tc>
        <w:tc>
          <w:tcPr>
            <w:tcW w:type="dxa" w:w="1080"/>
          </w:tcPr>
          <w:p>
            <w:pPr>
              <w:spacing w:after="0"/>
              <w:jc w:val="center"/>
            </w:pPr>
            <w:r>
              <w:rPr>
                <w:rFonts w:ascii="Times New Roman" w:hAnsi="Times New Roman" w:cs="Times New Roman"/>
                <w:sz w:val="20"/>
              </w:rPr>
              <w:t>90.77</w:t>
            </w:r>
          </w:p>
        </w:tc>
        <w:tc>
          <w:tcPr>
            <w:tcW w:type="dxa" w:w="864"/>
          </w:tcPr>
          <w:p>
            <w:pPr>
              <w:spacing w:after="0"/>
              <w:jc w:val="center"/>
            </w:pPr>
            <w:r>
              <w:rPr>
                <w:rFonts w:ascii="Times New Roman" w:hAnsi="Times New Roman" w:cs="Times New Roman"/>
                <w:sz w:val="20"/>
              </w:rPr>
              <w:t>81.22</w:t>
            </w:r>
          </w:p>
        </w:tc>
        <w:tc>
          <w:tcPr>
            <w:tcW w:type="dxa" w:w="864"/>
          </w:tcPr>
          <w:p>
            <w:pPr>
              <w:spacing w:after="0"/>
              <w:jc w:val="center"/>
            </w:pPr>
            <w:r>
              <w:rPr>
                <w:rFonts w:ascii="Times New Roman" w:hAnsi="Times New Roman" w:cs="Times New Roman"/>
                <w:sz w:val="20"/>
              </w:rPr>
              <w:t>78.53</w:t>
            </w:r>
          </w:p>
        </w:tc>
        <w:tc>
          <w:tcPr>
            <w:tcW w:type="dxa" w:w="936"/>
          </w:tcPr>
          <w:p>
            <w:pPr>
              <w:spacing w:after="0"/>
              <w:jc w:val="center"/>
            </w:pPr>
            <w:r>
              <w:rPr>
                <w:rFonts w:ascii="Times New Roman" w:hAnsi="Times New Roman" w:cs="Times New Roman"/>
                <w:sz w:val="20"/>
              </w:rPr>
              <w:t>78.05</w:t>
            </w:r>
          </w:p>
        </w:tc>
        <w:tc>
          <w:tcPr>
            <w:tcW w:type="dxa" w:w="864"/>
          </w:tcPr>
          <w:p>
            <w:pPr>
              <w:spacing w:after="0"/>
              <w:jc w:val="center"/>
            </w:pPr>
            <w:r>
              <w:rPr>
                <w:rFonts w:ascii="Times New Roman" w:hAnsi="Times New Roman" w:cs="Times New Roman"/>
                <w:sz w:val="20"/>
              </w:rPr>
              <w:t>79.01</w:t>
            </w:r>
          </w:p>
        </w:tc>
      </w:tr>
      <w:tr>
        <w:tc>
          <w:tcPr>
            <w:tcW w:type="dxa" w:w="720"/>
          </w:tcPr>
          <w:p>
            <w:pPr>
              <w:spacing w:after="0"/>
              <w:jc w:val="left"/>
            </w:pPr>
            <w:r>
              <w:rPr>
                <w:rFonts w:ascii="Times New Roman" w:hAnsi="Times New Roman" w:cs="Times New Roman"/>
                <w:b/>
                <w:sz w:val="20"/>
              </w:rPr>
              <w:t>Final</w:t>
            </w:r>
          </w:p>
        </w:tc>
        <w:tc>
          <w:tcPr>
            <w:tcW w:type="dxa" w:w="2880"/>
          </w:tcPr>
          <w:p>
            <w:pPr>
              <w:spacing w:after="0"/>
              <w:jc w:val="center"/>
            </w:pPr>
            <w:r>
              <w:rPr>
                <w:rFonts w:ascii="Times New Roman" w:hAnsi="Times New Roman" w:cs="Times New Roman"/>
                <w:b/>
                <w:sz w:val="20"/>
              </w:rPr>
              <w:t>E5 + tuned thresholds</w:t>
            </w:r>
          </w:p>
        </w:tc>
        <w:tc>
          <w:tcPr>
            <w:tcW w:type="dxa" w:w="864"/>
          </w:tcPr>
          <w:p>
            <w:pPr>
              <w:spacing w:after="0"/>
              <w:jc w:val="center"/>
            </w:pPr>
            <w:r>
              <w:rPr>
                <w:rFonts w:ascii="Times New Roman" w:hAnsi="Times New Roman" w:cs="Times New Roman"/>
                <w:b/>
                <w:sz w:val="20"/>
              </w:rPr>
              <w:t>98.41</w:t>
            </w:r>
          </w:p>
        </w:tc>
        <w:tc>
          <w:tcPr>
            <w:tcW w:type="dxa" w:w="1080"/>
          </w:tcPr>
          <w:p>
            <w:pPr>
              <w:spacing w:after="0"/>
              <w:jc w:val="center"/>
            </w:pPr>
            <w:r>
              <w:rPr>
                <w:rFonts w:ascii="Times New Roman" w:hAnsi="Times New Roman" w:cs="Times New Roman"/>
                <w:b/>
                <w:sz w:val="20"/>
              </w:rPr>
              <w:t>91.10</w:t>
            </w:r>
          </w:p>
        </w:tc>
        <w:tc>
          <w:tcPr>
            <w:tcW w:type="dxa" w:w="864"/>
          </w:tcPr>
          <w:p>
            <w:pPr>
              <w:spacing w:after="0"/>
              <w:jc w:val="center"/>
            </w:pPr>
            <w:r>
              <w:rPr>
                <w:rFonts w:ascii="Times New Roman" w:hAnsi="Times New Roman" w:cs="Times New Roman"/>
                <w:b/>
                <w:sz w:val="20"/>
              </w:rPr>
              <w:t>82.14</w:t>
            </w:r>
          </w:p>
        </w:tc>
        <w:tc>
          <w:tcPr>
            <w:tcW w:type="dxa" w:w="864"/>
          </w:tcPr>
          <w:p>
            <w:pPr>
              <w:spacing w:after="0"/>
              <w:jc w:val="center"/>
            </w:pPr>
            <w:r>
              <w:rPr>
                <w:rFonts w:ascii="Times New Roman" w:hAnsi="Times New Roman" w:cs="Times New Roman"/>
                <w:b/>
                <w:sz w:val="20"/>
              </w:rPr>
              <w:t>79.23</w:t>
            </w:r>
          </w:p>
        </w:tc>
        <w:tc>
          <w:tcPr>
            <w:tcW w:type="dxa" w:w="936"/>
          </w:tcPr>
          <w:p>
            <w:pPr>
              <w:spacing w:after="0"/>
              <w:jc w:val="center"/>
            </w:pPr>
            <w:r>
              <w:rPr>
                <w:rFonts w:ascii="Times New Roman" w:hAnsi="Times New Roman" w:cs="Times New Roman"/>
                <w:b/>
                <w:sz w:val="20"/>
              </w:rPr>
              <w:t>82.12</w:t>
            </w:r>
          </w:p>
        </w:tc>
        <w:tc>
          <w:tcPr>
            <w:tcW w:type="dxa" w:w="864"/>
          </w:tcPr>
          <w:p>
            <w:pPr>
              <w:spacing w:after="0"/>
              <w:jc w:val="center"/>
            </w:pPr>
            <w:r>
              <w:rPr>
                <w:rFonts w:ascii="Times New Roman" w:hAnsi="Times New Roman" w:cs="Times New Roman"/>
                <w:b/>
                <w:sz w:val="20"/>
              </w:rPr>
              <w:t>76.54</w:t>
            </w:r>
          </w:p>
        </w:tc>
      </w:tr>
    </w:tbl>
    <w:p>
      <w:pPr>
        <w:jc w:val="both"/>
      </w:pPr>
      <w:r>
        <w:rPr>
          <w:rFonts w:ascii="Times New Roman" w:hAnsi="Times New Roman" w:cs="Times New Roman"/>
          <w:sz w:val="24"/>
        </w:rPr>
      </w:r>
    </w:p>
    <w:p>
      <w:pPr>
        <w:keepNext/>
        <w:jc w:val="center"/>
      </w:pPr>
      <w:r>
        <w:drawing>
          <wp:inline xmlns:a="http://schemas.openxmlformats.org/drawingml/2006/main" xmlns:pic="http://schemas.openxmlformats.org/drawingml/2006/picture">
            <wp:extent cx="5120640" cy="2734977"/>
            <wp:docPr id="3" name="Picture 3"/>
            <wp:cNvGraphicFramePr>
              <a:graphicFrameLocks noChangeAspect="1"/>
            </wp:cNvGraphicFramePr>
            <a:graphic>
              <a:graphicData uri="http://schemas.openxmlformats.org/drawingml/2006/picture">
                <pic:pic>
                  <pic:nvPicPr>
                    <pic:cNvPr id="0" name="V2_08_per_class_f1_progression.png"/>
                    <pic:cNvPicPr/>
                  </pic:nvPicPr>
                  <pic:blipFill>
                    <a:blip r:embed="rId10"/>
                    <a:stretch>
                      <a:fillRect/>
                    </a:stretch>
                  </pic:blipFill>
                  <pic:spPr>
                    <a:xfrm>
                      <a:off x="0" y="0"/>
                      <a:ext cx="5120640" cy="2734977"/>
                    </a:xfrm>
                    <a:prstGeom prst="rect"/>
                  </pic:spPr>
                </pic:pic>
              </a:graphicData>
            </a:graphic>
          </wp:inline>
        </w:drawing>
      </w:r>
    </w:p>
    <w:p>
      <w:pPr>
        <w:spacing w:before="0"/>
        <w:jc w:val="center"/>
      </w:pPr>
      <w:r>
        <w:rPr>
          <w:rFonts w:ascii="Times New Roman" w:hAnsi="Times New Roman" w:cs="Times New Roman"/>
          <w:b/>
          <w:sz w:val="24"/>
        </w:rPr>
        <w:t>Figure 3: Per-class F1 across the V2 experiments</w:t>
      </w:r>
    </w:p>
    <w:p>
      <w:pPr>
        <w:jc w:val="both"/>
      </w:pPr>
      <w:r>
        <w:rPr>
          <w:rFonts w:ascii="Times New Roman" w:hAnsi="Times New Roman" w:cs="Times New Roman"/>
          <w:sz w:val="24"/>
        </w:rPr>
        <w:t>The largest gains came from three changes: selecting the epoch on validation macro F1 (E1, +7.67 macro F1), square-root class weights (E3, +9.28 over E2) and the residual network (E5, +4.57 over E4). Two changes did not help on their own: the training-stability settings of E2 lowered macro F1 by 5.66 points and did not visibly remove the validation swings, and augmentation (E4) lowered it by 1.38 points. Threshold tuning added only 0.33 points and traded some S and F recall for precision.</w:t>
      </w:r>
    </w:p>
    <w:p>
      <w:pPr>
        <w:keepNext/>
        <w:spacing w:before="120"/>
        <w:jc w:val="left"/>
      </w:pPr>
      <w:r>
        <w:rPr>
          <w:rFonts w:ascii="Times New Roman" w:hAnsi="Times New Roman" w:cs="Times New Roman"/>
          <w:b/>
          <w:sz w:val="24"/>
        </w:rPr>
        <w:t>Final Model Results</w:t>
      </w:r>
    </w:p>
    <w:p>
      <w:pPr>
        <w:keepNext/>
        <w:spacing w:before="120"/>
        <w:jc w:val="center"/>
      </w:pPr>
      <w:r>
        <w:rPr>
          <w:rFonts w:ascii="Times New Roman" w:hAnsi="Times New Roman" w:cs="Times New Roman"/>
          <w:b/>
          <w:sz w:val="24"/>
        </w:rPr>
        <w:t>Table 5: Test-set results of the final model (residual CNN + tuned thresholds)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pPr>
              <w:spacing w:after="0"/>
              <w:jc w:val="left"/>
            </w:pPr>
            <w:r>
              <w:rPr>
                <w:rFonts w:ascii="Times New Roman" w:hAnsi="Times New Roman" w:cs="Times New Roman"/>
                <w:b/>
                <w:sz w:val="20"/>
              </w:rPr>
              <w:t>Class</w:t>
            </w:r>
          </w:p>
        </w:tc>
        <w:tc>
          <w:tcPr>
            <w:tcW w:type="dxa" w:w="1584"/>
          </w:tcPr>
          <w:p>
            <w:pPr>
              <w:spacing w:after="0"/>
              <w:jc w:val="center"/>
            </w:pPr>
            <w:r>
              <w:rPr>
                <w:rFonts w:ascii="Times New Roman" w:hAnsi="Times New Roman" w:cs="Times New Roman"/>
                <w:b/>
                <w:sz w:val="20"/>
              </w:rPr>
              <w:t>Precision</w:t>
            </w:r>
          </w:p>
        </w:tc>
        <w:tc>
          <w:tcPr>
            <w:tcW w:type="dxa" w:w="1584"/>
          </w:tcPr>
          <w:p>
            <w:pPr>
              <w:spacing w:after="0"/>
              <w:jc w:val="center"/>
            </w:pPr>
            <w:r>
              <w:rPr>
                <w:rFonts w:ascii="Times New Roman" w:hAnsi="Times New Roman" w:cs="Times New Roman"/>
                <w:b/>
                <w:sz w:val="20"/>
              </w:rPr>
              <w:t>Recall</w:t>
            </w:r>
          </w:p>
        </w:tc>
        <w:tc>
          <w:tcPr>
            <w:tcW w:type="dxa" w:w="1584"/>
          </w:tcPr>
          <w:p>
            <w:pPr>
              <w:spacing w:after="0"/>
              <w:jc w:val="center"/>
            </w:pPr>
            <w:r>
              <w:rPr>
                <w:rFonts w:ascii="Times New Roman" w:hAnsi="Times New Roman" w:cs="Times New Roman"/>
                <w:b/>
                <w:sz w:val="20"/>
              </w:rPr>
              <w:t>F1-score</w:t>
            </w:r>
          </w:p>
        </w:tc>
        <w:tc>
          <w:tcPr>
            <w:tcW w:type="dxa" w:w="1584"/>
          </w:tcPr>
          <w:p>
            <w:pPr>
              <w:spacing w:after="0"/>
              <w:jc w:val="center"/>
            </w:pPr>
            <w:r>
              <w:rPr>
                <w:rFonts w:ascii="Times New Roman" w:hAnsi="Times New Roman" w:cs="Times New Roman"/>
                <w:b/>
                <w:sz w:val="20"/>
              </w:rPr>
              <w:t>Test beats</w:t>
            </w:r>
          </w:p>
        </w:tc>
      </w:tr>
      <w:tr>
        <w:tc>
          <w:tcPr>
            <w:tcW w:type="dxa" w:w="2304"/>
          </w:tcPr>
          <w:p>
            <w:pPr>
              <w:spacing w:after="0"/>
              <w:jc w:val="left"/>
            </w:pPr>
            <w:r>
              <w:rPr>
                <w:rFonts w:ascii="Times New Roman" w:hAnsi="Times New Roman" w:cs="Times New Roman"/>
                <w:sz w:val="20"/>
              </w:rPr>
              <w:t>N</w:t>
            </w:r>
          </w:p>
        </w:tc>
        <w:tc>
          <w:tcPr>
            <w:tcW w:type="dxa" w:w="1584"/>
          </w:tcPr>
          <w:p>
            <w:pPr>
              <w:spacing w:after="0"/>
              <w:jc w:val="center"/>
            </w:pPr>
            <w:r>
              <w:rPr>
                <w:rFonts w:ascii="Times New Roman" w:hAnsi="Times New Roman" w:cs="Times New Roman"/>
                <w:sz w:val="20"/>
              </w:rPr>
              <w:t>0.9874</w:t>
            </w:r>
          </w:p>
        </w:tc>
        <w:tc>
          <w:tcPr>
            <w:tcW w:type="dxa" w:w="1584"/>
          </w:tcPr>
          <w:p>
            <w:pPr>
              <w:spacing w:after="0"/>
              <w:jc w:val="center"/>
            </w:pPr>
            <w:r>
              <w:rPr>
                <w:rFonts w:ascii="Times New Roman" w:hAnsi="Times New Roman" w:cs="Times New Roman"/>
                <w:sz w:val="20"/>
              </w:rPr>
              <w:t>0.9962</w:t>
            </w:r>
          </w:p>
        </w:tc>
        <w:tc>
          <w:tcPr>
            <w:tcW w:type="dxa" w:w="1584"/>
          </w:tcPr>
          <w:p>
            <w:pPr>
              <w:spacing w:after="0"/>
              <w:jc w:val="center"/>
            </w:pPr>
            <w:r>
              <w:rPr>
                <w:rFonts w:ascii="Times New Roman" w:hAnsi="Times New Roman" w:cs="Times New Roman"/>
                <w:sz w:val="20"/>
              </w:rPr>
              <w:t>0.9918</w:t>
            </w:r>
          </w:p>
        </w:tc>
        <w:tc>
          <w:tcPr>
            <w:tcW w:type="dxa" w:w="1584"/>
          </w:tcPr>
          <w:p>
            <w:pPr>
              <w:spacing w:after="0"/>
              <w:jc w:val="center"/>
            </w:pPr>
            <w:r>
              <w:rPr>
                <w:rFonts w:ascii="Times New Roman" w:hAnsi="Times New Roman" w:cs="Times New Roman"/>
                <w:sz w:val="20"/>
              </w:rPr>
              <w:t>18,118</w:t>
            </w:r>
          </w:p>
        </w:tc>
      </w:tr>
      <w:tr>
        <w:tc>
          <w:tcPr>
            <w:tcW w:type="dxa" w:w="2304"/>
          </w:tcPr>
          <w:p>
            <w:pPr>
              <w:spacing w:after="0"/>
              <w:jc w:val="left"/>
            </w:pPr>
            <w:r>
              <w:rPr>
                <w:rFonts w:ascii="Times New Roman" w:hAnsi="Times New Roman" w:cs="Times New Roman"/>
                <w:sz w:val="20"/>
              </w:rPr>
              <w:t>S</w:t>
            </w:r>
          </w:p>
        </w:tc>
        <w:tc>
          <w:tcPr>
            <w:tcW w:type="dxa" w:w="1584"/>
          </w:tcPr>
          <w:p>
            <w:pPr>
              <w:spacing w:after="0"/>
              <w:jc w:val="center"/>
            </w:pPr>
            <w:r>
              <w:rPr>
                <w:rFonts w:ascii="Times New Roman" w:hAnsi="Times New Roman" w:cs="Times New Roman"/>
                <w:sz w:val="20"/>
              </w:rPr>
              <w:t>0.8758</w:t>
            </w:r>
          </w:p>
        </w:tc>
        <w:tc>
          <w:tcPr>
            <w:tcW w:type="dxa" w:w="1584"/>
          </w:tcPr>
          <w:p>
            <w:pPr>
              <w:spacing w:after="0"/>
              <w:jc w:val="center"/>
            </w:pPr>
            <w:r>
              <w:rPr>
                <w:rFonts w:ascii="Times New Roman" w:hAnsi="Times New Roman" w:cs="Times New Roman"/>
                <w:sz w:val="20"/>
              </w:rPr>
              <w:t>0.7734</w:t>
            </w:r>
          </w:p>
        </w:tc>
        <w:tc>
          <w:tcPr>
            <w:tcW w:type="dxa" w:w="1584"/>
          </w:tcPr>
          <w:p>
            <w:pPr>
              <w:spacing w:after="0"/>
              <w:jc w:val="center"/>
            </w:pPr>
            <w:r>
              <w:rPr>
                <w:rFonts w:ascii="Times New Roman" w:hAnsi="Times New Roman" w:cs="Times New Roman"/>
                <w:sz w:val="20"/>
              </w:rPr>
              <w:t>0.8214</w:t>
            </w:r>
          </w:p>
        </w:tc>
        <w:tc>
          <w:tcPr>
            <w:tcW w:type="dxa" w:w="1584"/>
          </w:tcPr>
          <w:p>
            <w:pPr>
              <w:spacing w:after="0"/>
              <w:jc w:val="center"/>
            </w:pPr>
            <w:r>
              <w:rPr>
                <w:rFonts w:ascii="Times New Roman" w:hAnsi="Times New Roman" w:cs="Times New Roman"/>
                <w:sz w:val="20"/>
              </w:rPr>
              <w:t>556</w:t>
            </w:r>
          </w:p>
        </w:tc>
      </w:tr>
      <w:tr>
        <w:tc>
          <w:tcPr>
            <w:tcW w:type="dxa" w:w="2304"/>
          </w:tcPr>
          <w:p>
            <w:pPr>
              <w:spacing w:after="0"/>
              <w:jc w:val="left"/>
            </w:pPr>
            <w:r>
              <w:rPr>
                <w:rFonts w:ascii="Times New Roman" w:hAnsi="Times New Roman" w:cs="Times New Roman"/>
                <w:sz w:val="20"/>
              </w:rPr>
              <w:t>V</w:t>
            </w:r>
          </w:p>
        </w:tc>
        <w:tc>
          <w:tcPr>
            <w:tcW w:type="dxa" w:w="1584"/>
          </w:tcPr>
          <w:p>
            <w:pPr>
              <w:spacing w:after="0"/>
              <w:jc w:val="center"/>
            </w:pPr>
            <w:r>
              <w:rPr>
                <w:rFonts w:ascii="Times New Roman" w:hAnsi="Times New Roman" w:cs="Times New Roman"/>
                <w:sz w:val="20"/>
              </w:rPr>
              <w:t>0.9805</w:t>
            </w:r>
          </w:p>
        </w:tc>
        <w:tc>
          <w:tcPr>
            <w:tcW w:type="dxa" w:w="1584"/>
          </w:tcPr>
          <w:p>
            <w:pPr>
              <w:spacing w:after="0"/>
              <w:jc w:val="center"/>
            </w:pPr>
            <w:r>
              <w:rPr>
                <w:rFonts w:ascii="Times New Roman" w:hAnsi="Times New Roman" w:cs="Times New Roman"/>
                <w:sz w:val="20"/>
              </w:rPr>
              <w:t>0.9378</w:t>
            </w:r>
          </w:p>
        </w:tc>
        <w:tc>
          <w:tcPr>
            <w:tcW w:type="dxa" w:w="1584"/>
          </w:tcPr>
          <w:p>
            <w:pPr>
              <w:spacing w:after="0"/>
              <w:jc w:val="center"/>
            </w:pPr>
            <w:r>
              <w:rPr>
                <w:rFonts w:ascii="Times New Roman" w:hAnsi="Times New Roman" w:cs="Times New Roman"/>
                <w:sz w:val="20"/>
              </w:rPr>
              <w:t>0.9587</w:t>
            </w:r>
          </w:p>
        </w:tc>
        <w:tc>
          <w:tcPr>
            <w:tcW w:type="dxa" w:w="1584"/>
          </w:tcPr>
          <w:p>
            <w:pPr>
              <w:spacing w:after="0"/>
              <w:jc w:val="center"/>
            </w:pPr>
            <w:r>
              <w:rPr>
                <w:rFonts w:ascii="Times New Roman" w:hAnsi="Times New Roman" w:cs="Times New Roman"/>
                <w:sz w:val="20"/>
              </w:rPr>
              <w:t>1,448</w:t>
            </w:r>
          </w:p>
        </w:tc>
      </w:tr>
      <w:tr>
        <w:tc>
          <w:tcPr>
            <w:tcW w:type="dxa" w:w="2304"/>
          </w:tcPr>
          <w:p>
            <w:pPr>
              <w:spacing w:after="0"/>
              <w:jc w:val="left"/>
            </w:pPr>
            <w:r>
              <w:rPr>
                <w:rFonts w:ascii="Times New Roman" w:hAnsi="Times New Roman" w:cs="Times New Roman"/>
                <w:sz w:val="20"/>
              </w:rPr>
              <w:t>F</w:t>
            </w:r>
          </w:p>
        </w:tc>
        <w:tc>
          <w:tcPr>
            <w:tcW w:type="dxa" w:w="1584"/>
          </w:tcPr>
          <w:p>
            <w:pPr>
              <w:spacing w:after="0"/>
              <w:jc w:val="center"/>
            </w:pPr>
            <w:r>
              <w:rPr>
                <w:rFonts w:ascii="Times New Roman" w:hAnsi="Times New Roman" w:cs="Times New Roman"/>
                <w:sz w:val="20"/>
              </w:rPr>
              <w:t>0.8212</w:t>
            </w:r>
          </w:p>
        </w:tc>
        <w:tc>
          <w:tcPr>
            <w:tcW w:type="dxa" w:w="1584"/>
          </w:tcPr>
          <w:p>
            <w:pPr>
              <w:spacing w:after="0"/>
              <w:jc w:val="center"/>
            </w:pPr>
            <w:r>
              <w:rPr>
                <w:rFonts w:ascii="Times New Roman" w:hAnsi="Times New Roman" w:cs="Times New Roman"/>
                <w:sz w:val="20"/>
              </w:rPr>
              <w:t>0.7654</w:t>
            </w:r>
          </w:p>
        </w:tc>
        <w:tc>
          <w:tcPr>
            <w:tcW w:type="dxa" w:w="1584"/>
          </w:tcPr>
          <w:p>
            <w:pPr>
              <w:spacing w:after="0"/>
              <w:jc w:val="center"/>
            </w:pPr>
            <w:r>
              <w:rPr>
                <w:rFonts w:ascii="Times New Roman" w:hAnsi="Times New Roman" w:cs="Times New Roman"/>
                <w:sz w:val="20"/>
              </w:rPr>
              <w:t>0.7923</w:t>
            </w:r>
          </w:p>
        </w:tc>
        <w:tc>
          <w:tcPr>
            <w:tcW w:type="dxa" w:w="1584"/>
          </w:tcPr>
          <w:p>
            <w:pPr>
              <w:spacing w:after="0"/>
              <w:jc w:val="center"/>
            </w:pPr>
            <w:r>
              <w:rPr>
                <w:rFonts w:ascii="Times New Roman" w:hAnsi="Times New Roman" w:cs="Times New Roman"/>
                <w:sz w:val="20"/>
              </w:rPr>
              <w:t>162</w:t>
            </w:r>
          </w:p>
        </w:tc>
      </w:tr>
      <w:tr>
        <w:tc>
          <w:tcPr>
            <w:tcW w:type="dxa" w:w="2304"/>
          </w:tcPr>
          <w:p>
            <w:pPr>
              <w:spacing w:after="0"/>
              <w:jc w:val="left"/>
            </w:pPr>
            <w:r>
              <w:rPr>
                <w:rFonts w:ascii="Times New Roman" w:hAnsi="Times New Roman" w:cs="Times New Roman"/>
                <w:sz w:val="20"/>
              </w:rPr>
              <w:t>Q</w:t>
            </w:r>
          </w:p>
        </w:tc>
        <w:tc>
          <w:tcPr>
            <w:tcW w:type="dxa" w:w="1584"/>
          </w:tcPr>
          <w:p>
            <w:pPr>
              <w:spacing w:after="0"/>
              <w:jc w:val="center"/>
            </w:pPr>
            <w:r>
              <w:rPr>
                <w:rFonts w:ascii="Times New Roman" w:hAnsi="Times New Roman" w:cs="Times New Roman"/>
                <w:sz w:val="20"/>
              </w:rPr>
              <w:t>0.9981</w:t>
            </w:r>
          </w:p>
        </w:tc>
        <w:tc>
          <w:tcPr>
            <w:tcW w:type="dxa" w:w="1584"/>
          </w:tcPr>
          <w:p>
            <w:pPr>
              <w:spacing w:after="0"/>
              <w:jc w:val="center"/>
            </w:pPr>
            <w:r>
              <w:rPr>
                <w:rFonts w:ascii="Times New Roman" w:hAnsi="Times New Roman" w:cs="Times New Roman"/>
                <w:sz w:val="20"/>
              </w:rPr>
              <w:t>0.9832</w:t>
            </w:r>
          </w:p>
        </w:tc>
        <w:tc>
          <w:tcPr>
            <w:tcW w:type="dxa" w:w="1584"/>
          </w:tcPr>
          <w:p>
            <w:pPr>
              <w:spacing w:after="0"/>
              <w:jc w:val="center"/>
            </w:pPr>
            <w:r>
              <w:rPr>
                <w:rFonts w:ascii="Times New Roman" w:hAnsi="Times New Roman" w:cs="Times New Roman"/>
                <w:sz w:val="20"/>
              </w:rPr>
              <w:t>0.9906</w:t>
            </w:r>
          </w:p>
        </w:tc>
        <w:tc>
          <w:tcPr>
            <w:tcW w:type="dxa" w:w="1584"/>
          </w:tcPr>
          <w:p>
            <w:pPr>
              <w:spacing w:after="0"/>
              <w:jc w:val="center"/>
            </w:pPr>
            <w:r>
              <w:rPr>
                <w:rFonts w:ascii="Times New Roman" w:hAnsi="Times New Roman" w:cs="Times New Roman"/>
                <w:sz w:val="20"/>
              </w:rPr>
              <w:t>1,608</w:t>
            </w:r>
          </w:p>
        </w:tc>
      </w:tr>
      <w:tr>
        <w:tc>
          <w:tcPr>
            <w:tcW w:type="dxa" w:w="2304"/>
          </w:tcPr>
          <w:p>
            <w:pPr>
              <w:spacing w:after="0"/>
              <w:jc w:val="left"/>
            </w:pPr>
            <w:r>
              <w:rPr>
                <w:rFonts w:ascii="Times New Roman" w:hAnsi="Times New Roman" w:cs="Times New Roman"/>
                <w:b/>
                <w:sz w:val="20"/>
              </w:rPr>
              <w:t>Macro average</w:t>
            </w:r>
          </w:p>
        </w:tc>
        <w:tc>
          <w:tcPr>
            <w:tcW w:type="dxa" w:w="1584"/>
          </w:tcPr>
          <w:p>
            <w:pPr>
              <w:spacing w:after="0"/>
              <w:jc w:val="center"/>
            </w:pPr>
            <w:r>
              <w:rPr>
                <w:rFonts w:ascii="Times New Roman" w:hAnsi="Times New Roman" w:cs="Times New Roman"/>
                <w:b/>
                <w:sz w:val="20"/>
              </w:rPr>
              <w:t>0.9326</w:t>
            </w:r>
          </w:p>
        </w:tc>
        <w:tc>
          <w:tcPr>
            <w:tcW w:type="dxa" w:w="1584"/>
          </w:tcPr>
          <w:p>
            <w:pPr>
              <w:spacing w:after="0"/>
              <w:jc w:val="center"/>
            </w:pPr>
            <w:r>
              <w:rPr>
                <w:rFonts w:ascii="Times New Roman" w:hAnsi="Times New Roman" w:cs="Times New Roman"/>
                <w:b/>
                <w:sz w:val="20"/>
              </w:rPr>
              <w:t>0.8912</w:t>
            </w:r>
          </w:p>
        </w:tc>
        <w:tc>
          <w:tcPr>
            <w:tcW w:type="dxa" w:w="1584"/>
          </w:tcPr>
          <w:p>
            <w:pPr>
              <w:spacing w:after="0"/>
              <w:jc w:val="center"/>
            </w:pPr>
            <w:r>
              <w:rPr>
                <w:rFonts w:ascii="Times New Roman" w:hAnsi="Times New Roman" w:cs="Times New Roman"/>
                <w:b/>
                <w:sz w:val="20"/>
              </w:rPr>
              <w:t>0.9110</w:t>
            </w:r>
          </w:p>
        </w:tc>
        <w:tc>
          <w:tcPr>
            <w:tcW w:type="dxa" w:w="1584"/>
          </w:tcPr>
          <w:p>
            <w:pPr>
              <w:spacing w:after="0"/>
              <w:jc w:val="center"/>
            </w:pPr>
            <w:r>
              <w:rPr>
                <w:rFonts w:ascii="Times New Roman" w:hAnsi="Times New Roman" w:cs="Times New Roman"/>
                <w:b/>
                <w:sz w:val="20"/>
              </w:rPr>
              <w:t>21,892</w:t>
            </w:r>
          </w:p>
        </w:tc>
      </w:tr>
    </w:tbl>
    <w:p>
      <w:pPr>
        <w:jc w:val="both"/>
      </w:pPr>
      <w:r>
        <w:rPr>
          <w:rFonts w:ascii="Times New Roman" w:hAnsi="Times New Roman" w:cs="Times New Roman"/>
          <w:sz w:val="24"/>
        </w:rPr>
      </w:r>
    </w:p>
    <w:p>
      <w:pPr>
        <w:keepNext/>
        <w:jc w:val="center"/>
      </w:pPr>
      <w:r>
        <w:drawing>
          <wp:inline xmlns:a="http://schemas.openxmlformats.org/drawingml/2006/main" xmlns:pic="http://schemas.openxmlformats.org/drawingml/2006/picture">
            <wp:extent cx="5486400" cy="2137246"/>
            <wp:docPr id="4" name="Picture 4"/>
            <wp:cNvGraphicFramePr>
              <a:graphicFrameLocks noChangeAspect="1"/>
            </wp:cNvGraphicFramePr>
            <a:graphic>
              <a:graphicData uri="http://schemas.openxmlformats.org/drawingml/2006/picture">
                <pic:pic>
                  <pic:nvPicPr>
                    <pic:cNvPr id="0" name="V2_04_confusion_matrix_final.png"/>
                    <pic:cNvPicPr/>
                  </pic:nvPicPr>
                  <pic:blipFill>
                    <a:blip r:embed="rId11"/>
                    <a:stretch>
                      <a:fillRect/>
                    </a:stretch>
                  </pic:blipFill>
                  <pic:spPr>
                    <a:xfrm>
                      <a:off x="0" y="0"/>
                      <a:ext cx="5486400" cy="2137246"/>
                    </a:xfrm>
                    <a:prstGeom prst="rect"/>
                  </pic:spPr>
                </pic:pic>
              </a:graphicData>
            </a:graphic>
          </wp:inline>
        </w:drawing>
      </w:r>
    </w:p>
    <w:p>
      <w:pPr>
        <w:spacing w:before="0"/>
        <w:jc w:val="center"/>
      </w:pPr>
      <w:r>
        <w:rPr>
          <w:rFonts w:ascii="Times New Roman" w:hAnsi="Times New Roman" w:cs="Times New Roman"/>
          <w:b/>
          <w:sz w:val="24"/>
        </w:rPr>
        <w:t>Figure 4: Confusion matrix of the final model</w:t>
      </w:r>
    </w:p>
    <w:p>
      <w:pPr>
        <w:jc w:val="both"/>
      </w:pPr>
      <w:r>
        <w:rPr>
          <w:rFonts w:ascii="Times New Roman" w:hAnsi="Times New Roman" w:cs="Times New Roman"/>
          <w:sz w:val="24"/>
        </w:rPr>
        <w:t>Compared with the baseline, accuracy rose from 94.41% to 98.41% and macro F1 from 76.29% to 91.10%. F1 improved for every class (S 60.9 → 82.1, V 86.6 → 95.9, F 40.0 → 79.2). False Fusion predictions fell from 398 to 27 and false S predictions from 294 to 61. Fusion recall, however, is lower than the baseline's (76.5% vs 86.4%), because the baseline's high recall came from over-predicting F. The largest remaining error is S → N (120 of 556 S beats, 22%); S beats differ from N beats mainly in timing, which supports adding explicit RR-interval features in the proposed model.</w:t>
      </w:r>
    </w:p>
    <w:p>
      <w:pPr>
        <w:keepNext/>
        <w:spacing w:before="120"/>
        <w:jc w:val="left"/>
      </w:pPr>
      <w:r>
        <w:rPr>
          <w:rFonts w:ascii="Times New Roman" w:hAnsi="Times New Roman" w:cs="Times New Roman"/>
          <w:b/>
          <w:sz w:val="24"/>
        </w:rPr>
        <w:t>Grad-CAM Explanations</w:t>
      </w:r>
    </w:p>
    <w:p>
      <w:pPr>
        <w:jc w:val="both"/>
      </w:pPr>
      <w:r>
        <w:rPr>
          <w:rFonts w:ascii="Times New Roman" w:hAnsi="Times New Roman" w:cs="Times New Roman"/>
          <w:sz w:val="24"/>
        </w:rPr>
        <w:t>Grad-CAM [37] was applied to the last convolutional activation of each model (46 time steps, interpolated to the 187-sample beat). For each class, the most confidently and correctly classified test beat was explained (Figures 5 and 6).</w:t>
      </w:r>
    </w:p>
    <w:p>
      <w:pPr>
        <w:keepNext/>
        <w:jc w:val="center"/>
      </w:pPr>
      <w:r>
        <w:drawing>
          <wp:inline xmlns:a="http://schemas.openxmlformats.org/drawingml/2006/main" xmlns:pic="http://schemas.openxmlformats.org/drawingml/2006/picture">
            <wp:extent cx="5486400" cy="1115711"/>
            <wp:docPr id="5" name="Picture 5"/>
            <wp:cNvGraphicFramePr>
              <a:graphicFrameLocks noChangeAspect="1"/>
            </wp:cNvGraphicFramePr>
            <a:graphic>
              <a:graphicData uri="http://schemas.openxmlformats.org/drawingml/2006/picture">
                <pic:pic>
                  <pic:nvPicPr>
                    <pic:cNvPr id="0" name="V1_gradcam.png"/>
                    <pic:cNvPicPr/>
                  </pic:nvPicPr>
                  <pic:blipFill>
                    <a:blip r:embed="rId12"/>
                    <a:stretch>
                      <a:fillRect/>
                    </a:stretch>
                  </pic:blipFill>
                  <pic:spPr>
                    <a:xfrm>
                      <a:off x="0" y="0"/>
                      <a:ext cx="5486400" cy="1115711"/>
                    </a:xfrm>
                    <a:prstGeom prst="rect"/>
                  </pic:spPr>
                </pic:pic>
              </a:graphicData>
            </a:graphic>
          </wp:inline>
        </w:drawing>
      </w:r>
    </w:p>
    <w:p>
      <w:pPr>
        <w:spacing w:before="0"/>
        <w:jc w:val="center"/>
      </w:pPr>
      <w:r>
        <w:rPr>
          <w:rFonts w:ascii="Times New Roman" w:hAnsi="Times New Roman" w:cs="Times New Roman"/>
          <w:b/>
          <w:sz w:val="24"/>
        </w:rPr>
        <w:t>Figure 5: Grad-CAM heatmaps of the V1 baseline, one beat per class</w:t>
      </w:r>
    </w:p>
    <w:p>
      <w:pPr>
        <w:keepNext/>
        <w:jc w:val="center"/>
      </w:pPr>
      <w:r>
        <w:drawing>
          <wp:inline xmlns:a="http://schemas.openxmlformats.org/drawingml/2006/main" xmlns:pic="http://schemas.openxmlformats.org/drawingml/2006/picture">
            <wp:extent cx="5486400" cy="1132167"/>
            <wp:docPr id="6" name="Picture 6"/>
            <wp:cNvGraphicFramePr>
              <a:graphicFrameLocks noChangeAspect="1"/>
            </wp:cNvGraphicFramePr>
            <a:graphic>
              <a:graphicData uri="http://schemas.openxmlformats.org/drawingml/2006/picture">
                <pic:pic>
                  <pic:nvPicPr>
                    <pic:cNvPr id="0" name="V2_06_gradcam_final.png"/>
                    <pic:cNvPicPr/>
                  </pic:nvPicPr>
                  <pic:blipFill>
                    <a:blip r:embed="rId13"/>
                    <a:stretch>
                      <a:fillRect/>
                    </a:stretch>
                  </pic:blipFill>
                  <pic:spPr>
                    <a:xfrm>
                      <a:off x="0" y="0"/>
                      <a:ext cx="5486400" cy="1132167"/>
                    </a:xfrm>
                    <a:prstGeom prst="rect"/>
                  </pic:spPr>
                </pic:pic>
              </a:graphicData>
            </a:graphic>
          </wp:inline>
        </w:drawing>
      </w:r>
    </w:p>
    <w:p>
      <w:pPr>
        <w:spacing w:before="0"/>
        <w:jc w:val="center"/>
      </w:pPr>
      <w:r>
        <w:rPr>
          <w:rFonts w:ascii="Times New Roman" w:hAnsi="Times New Roman" w:cs="Times New Roman"/>
          <w:b/>
          <w:sz w:val="24"/>
        </w:rPr>
        <w:t>Figure 6: Grad-CAM heatmaps of the final model, one beat per class</w:t>
      </w:r>
    </w:p>
    <w:p>
      <w:pPr>
        <w:jc w:val="both"/>
      </w:pPr>
      <w:r>
        <w:rPr>
          <w:rFonts w:ascii="Times New Roman" w:hAnsi="Times New Roman" w:cs="Times New Roman"/>
          <w:sz w:val="24"/>
        </w:rPr>
        <w:t>Both models concentrate their attention on a few narrow regions. The baseline focuses mostly on the start of the window and on the second large peak or the end of the signal; the final model's maps are broader and more often cover waveform features such as bumps and troughs. Since each window starts at the current R peak, the second peak is likely the next R peak, which suggests that the models partly use the timing of the next beat (an implicit RR cue) as well as beat shape. These observations are qualitative only; they will be tested with the region-share and deletion measures defined in the Methodology chapter.</w:t>
      </w:r>
    </w:p>
    <w:p>
      <w:pPr>
        <w:keepNext/>
        <w:spacing w:before="120"/>
        <w:jc w:val="left"/>
      </w:pPr>
      <w:r>
        <w:rPr>
          <w:rFonts w:ascii="Times New Roman" w:hAnsi="Times New Roman" w:cs="Times New Roman"/>
          <w:b/>
          <w:sz w:val="24"/>
        </w:rPr>
        <w:t>Challenges Faced</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sz w:val="24"/>
        </w:rPr>
        <w:t>Severe class imbalance: fully balanced class weights made the baseline over-predict the rare classes (F precision 26.0%). Softer, square-root weights fixed most of this.</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sz w:val="24"/>
        </w:rPr>
        <w:t>Unstable training: the baseline's validation accuracy swung between 14.5% and 95.1%, so early stopping on validation loss stopped training too early. Choosing the epoch on validation macro F1 and the residual network gave smoother, better results.</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sz w:val="24"/>
        </w:rPr>
        <w:t>Not every planned improvement helped: the stability settings (E2) and augmentation (E4) lowered macro F1, and because the experiments were cumulative, the best combination of changes is not yet known.</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sz w:val="24"/>
        </w:rPr>
        <w:t>The preliminary data are pre-processed, intra-patient and include the Q class, so the results are optimistic and not directly comparable with the planned four-class, inter-patient results. Each experiment was also run only once with one seed.</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sz w:val="24"/>
        </w:rPr>
        <w:t>Grad-CAM is coarse (46 time steps) and has so far been shown only for one hand-picked beat per class.</w:t>
      </w:r>
    </w:p>
    <w:p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Work Plan for Next Phase</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following tasks follow from the project objectives and build on the pipeline developed so far. Table 6 gives the planned timeline.</w:t>
      </w:r>
    </w:p>
    <w:p>
      <w:pPr>
        <w:tabs>
          <w:tab w:pos="432" w:val="left"/>
        </w:tabs>
        <w:ind w:left="432" w:hanging="432"/>
        <w:jc w:val="both"/>
      </w:pPr>
      <w:r>
        <w:rPr>
          <w:rFonts w:ascii="Times New Roman" w:hAnsi="Times New Roman" w:cs="Times New Roman"/>
          <w:sz w:val="24"/>
        </w:rPr>
        <w:t>•</w:t>
        <w:tab/>
      </w:r>
      <w:r>
        <w:rPr>
          <w:rFonts w:ascii="Times New Roman" w:hAnsi="Times New Roman" w:cs="Times New Roman"/>
          <w:sz w:val="24"/>
        </w:rPr>
        <w:t>Port the pipeline from the pre-segmented Kaggle beats to the raw MIT-BIH records (own filtering, 252-sample beats around the R peak, RR features, four classes N, S, V, F).</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Implement pre-processing and the inter-patient DS1/DS2 split of the MIT-BIH database.</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Implement and train the hybrid classifier; report per-class and macro F1; test on the external database.</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Apply at least two XAI methods and evaluate explanation consistency and agreement with ECG features.</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Generate NSTDB noise at graded SNRs; evaluate classification, explanation stability and uncertainty.</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Analyse results, prepare the final report and presentation.</w:t>
      </w:r>
    </w:p>
    <w:p>
      <w:pPr>
        <w:keepNext/>
        <w:spacing w:before="120"/>
        <w:jc w:val="center"/>
      </w:pPr>
      <w:r>
        <w:rPr>
          <w:rFonts w:ascii="Times New Roman" w:hAnsi="Times New Roman" w:cs="Times New Roman"/>
          <w:b/>
          <w:sz w:val="24"/>
        </w:rPr>
        <w:t>Table 6: Planned timeline for the next phase</w:t>
      </w:r>
    </w:p>
    <w:tbl>
      <w:tblPr>
        <w:tblStyle w:val="TableGrid"/>
        <w:tblW w:type="auto" w:w="0"/>
        <w:tblLook w:firstColumn="1" w:firstRow="1" w:lastColumn="0" w:lastRow="0" w:noHBand="0" w:noVBand="1" w:val="04A0"/>
      </w:tblPr>
      <w:tblGrid>
        <w:gridCol w:w="2880"/>
        <w:gridCol w:w="2880"/>
        <w:gridCol w:w="2880"/>
      </w:tblGrid>
      <w:tr>
        <w:tc>
          <w:tcPr>
            <w:tcW w:type="dxa" w:w="1872"/>
          </w:tcPr>
          <w:p>
            <w:pPr>
              <w:spacing w:after="0"/>
              <w:jc w:val="left"/>
            </w:pPr>
            <w:r>
              <w:rPr>
                <w:rFonts w:ascii="Times New Roman" w:hAnsi="Times New Roman" w:cs="Times New Roman"/>
                <w:b/>
                <w:sz w:val="20"/>
              </w:rPr>
              <w:t>Period</w:t>
            </w:r>
          </w:p>
        </w:tc>
        <w:tc>
          <w:tcPr>
            <w:tcW w:type="dxa" w:w="3888"/>
          </w:tcPr>
          <w:p>
            <w:pPr>
              <w:spacing w:after="0"/>
              <w:jc w:val="center"/>
            </w:pPr>
            <w:r>
              <w:rPr>
                <w:rFonts w:ascii="Times New Roman" w:hAnsi="Times New Roman" w:cs="Times New Roman"/>
                <w:b/>
                <w:sz w:val="20"/>
              </w:rPr>
              <w:t>Task</w:t>
            </w:r>
          </w:p>
        </w:tc>
        <w:tc>
          <w:tcPr>
            <w:tcW w:type="dxa" w:w="2880"/>
          </w:tcPr>
          <w:p>
            <w:pPr>
              <w:spacing w:after="0"/>
              <w:jc w:val="center"/>
            </w:pPr>
            <w:r>
              <w:rPr>
                <w:rFonts w:ascii="Times New Roman" w:hAnsi="Times New Roman" w:cs="Times New Roman"/>
                <w:b/>
                <w:sz w:val="20"/>
              </w:rPr>
              <w:t>Output</w:t>
            </w:r>
          </w:p>
        </w:tc>
      </w:tr>
      <w:tr>
        <w:tc>
          <w:tcPr>
            <w:tcW w:type="dxa" w:w="1872"/>
          </w:tcPr>
          <w:p>
            <w:pPr>
              <w:spacing w:after="0"/>
              <w:jc w:val="left"/>
            </w:pPr>
            <w:r>
              <w:rPr>
                <w:rFonts w:ascii="Times New Roman" w:hAnsi="Times New Roman" w:cs="Times New Roman"/>
                <w:sz w:val="20"/>
              </w:rPr>
              <w:t>12 – 25 Oct</w:t>
            </w:r>
          </w:p>
        </w:tc>
        <w:tc>
          <w:tcPr>
            <w:tcW w:type="dxa" w:w="3888"/>
          </w:tcPr>
          <w:p>
            <w:pPr>
              <w:spacing w:after="0"/>
              <w:jc w:val="center"/>
            </w:pPr>
            <w:r>
              <w:rPr>
                <w:rFonts w:ascii="Times New Roman" w:hAnsi="Times New Roman" w:cs="Times New Roman"/>
                <w:sz w:val="20"/>
              </w:rPr>
              <w:t>Raw MIT-BIH pre-processing; re-train the baseline CNN on 4 classes</w:t>
            </w:r>
          </w:p>
        </w:tc>
        <w:tc>
          <w:tcPr>
            <w:tcW w:type="dxa" w:w="2880"/>
          </w:tcPr>
          <w:p>
            <w:pPr>
              <w:spacing w:after="0"/>
              <w:jc w:val="center"/>
            </w:pPr>
            <w:r>
              <w:rPr>
                <w:rFonts w:ascii="Times New Roman" w:hAnsi="Times New Roman" w:cs="Times New Roman"/>
                <w:sz w:val="20"/>
              </w:rPr>
              <w:t>Beat dataset, class counts, baseline results</w:t>
            </w:r>
          </w:p>
        </w:tc>
      </w:tr>
      <w:tr>
        <w:tc>
          <w:tcPr>
            <w:tcW w:type="dxa" w:w="1872"/>
          </w:tcPr>
          <w:p>
            <w:pPr>
              <w:spacing w:after="0"/>
              <w:jc w:val="left"/>
            </w:pPr>
            <w:r>
              <w:rPr>
                <w:rFonts w:ascii="Times New Roman" w:hAnsi="Times New Roman" w:cs="Times New Roman"/>
                <w:sz w:val="20"/>
              </w:rPr>
              <w:t>26 Oct – 1 Nov</w:t>
            </w:r>
          </w:p>
        </w:tc>
        <w:tc>
          <w:tcPr>
            <w:tcW w:type="dxa" w:w="3888"/>
          </w:tcPr>
          <w:p>
            <w:pPr>
              <w:spacing w:after="0"/>
              <w:jc w:val="center"/>
            </w:pPr>
            <w:r>
              <w:rPr>
                <w:rFonts w:ascii="Times New Roman" w:hAnsi="Times New Roman" w:cs="Times New Roman"/>
                <w:sz w:val="20"/>
              </w:rPr>
              <w:t>CNN-LSTM + RR model; DS1/DS2 inter-patient run; SHAP</w:t>
            </w:r>
          </w:p>
        </w:tc>
        <w:tc>
          <w:tcPr>
            <w:tcW w:type="dxa" w:w="2880"/>
          </w:tcPr>
          <w:p>
            <w:pPr>
              <w:spacing w:after="0"/>
              <w:jc w:val="center"/>
            </w:pPr>
            <w:r>
              <w:rPr>
                <w:rFonts w:ascii="Times New Roman" w:hAnsi="Times New Roman" w:cs="Times New Roman"/>
                <w:sz w:val="20"/>
              </w:rPr>
              <w:t>Model comparison table, Grad-CAM vs SHAP figure</w:t>
            </w:r>
          </w:p>
        </w:tc>
      </w:tr>
      <w:tr>
        <w:tc>
          <w:tcPr>
            <w:tcW w:type="dxa" w:w="1872"/>
          </w:tcPr>
          <w:p>
            <w:pPr>
              <w:spacing w:after="0"/>
              <w:jc w:val="left"/>
            </w:pPr>
            <w:r>
              <w:rPr>
                <w:rFonts w:ascii="Times New Roman" w:hAnsi="Times New Roman" w:cs="Times New Roman"/>
                <w:sz w:val="20"/>
              </w:rPr>
              <w:t>2 – 8 Nov</w:t>
            </w:r>
          </w:p>
        </w:tc>
        <w:tc>
          <w:tcPr>
            <w:tcW w:type="dxa" w:w="3888"/>
          </w:tcPr>
          <w:p>
            <w:pPr>
              <w:spacing w:after="0"/>
              <w:jc w:val="center"/>
            </w:pPr>
            <w:r>
              <w:rPr>
                <w:rFonts w:ascii="Times New Roman" w:hAnsi="Times New Roman" w:cs="Times New Roman"/>
                <w:sz w:val="20"/>
              </w:rPr>
              <w:t>Region-share and deletion tests</w:t>
            </w:r>
          </w:p>
        </w:tc>
        <w:tc>
          <w:tcPr>
            <w:tcW w:type="dxa" w:w="2880"/>
          </w:tcPr>
          <w:p>
            <w:pPr>
              <w:spacing w:after="0"/>
              <w:jc w:val="center"/>
            </w:pPr>
            <w:r>
              <w:rPr>
                <w:rFonts w:ascii="Times New Roman" w:hAnsi="Times New Roman" w:cs="Times New Roman"/>
                <w:sz w:val="20"/>
              </w:rPr>
              <w:t>Region table, deletion chart</w:t>
            </w:r>
          </w:p>
        </w:tc>
      </w:tr>
      <w:tr>
        <w:tc>
          <w:tcPr>
            <w:tcW w:type="dxa" w:w="1872"/>
          </w:tcPr>
          <w:p>
            <w:pPr>
              <w:spacing w:after="0"/>
              <w:jc w:val="left"/>
            </w:pPr>
            <w:r>
              <w:rPr>
                <w:rFonts w:ascii="Times New Roman" w:hAnsi="Times New Roman" w:cs="Times New Roman"/>
                <w:sz w:val="20"/>
              </w:rPr>
              <w:t>9 – 15 Nov</w:t>
            </w:r>
          </w:p>
        </w:tc>
        <w:tc>
          <w:tcPr>
            <w:tcW w:type="dxa" w:w="3888"/>
          </w:tcPr>
          <w:p>
            <w:pPr>
              <w:spacing w:after="0"/>
              <w:jc w:val="center"/>
            </w:pPr>
            <w:r>
              <w:rPr>
                <w:rFonts w:ascii="Times New Roman" w:hAnsi="Times New Roman" w:cs="Times New Roman"/>
                <w:sz w:val="20"/>
              </w:rPr>
              <w:t>NSTDB noise at 18 / 6 / 0 dB; heatmap stability</w:t>
            </w:r>
          </w:p>
        </w:tc>
        <w:tc>
          <w:tcPr>
            <w:tcW w:type="dxa" w:w="2880"/>
          </w:tcPr>
          <w:p>
            <w:pPr>
              <w:spacing w:after="0"/>
              <w:jc w:val="center"/>
            </w:pPr>
            <w:r>
              <w:rPr>
                <w:rFonts w:ascii="Times New Roman" w:hAnsi="Times New Roman" w:cs="Times New Roman"/>
                <w:sz w:val="20"/>
              </w:rPr>
              <w:t>F1-vs-SNR and stability plots</w:t>
            </w:r>
          </w:p>
        </w:tc>
      </w:tr>
      <w:tr>
        <w:tc>
          <w:tcPr>
            <w:tcW w:type="dxa" w:w="1872"/>
          </w:tcPr>
          <w:p>
            <w:pPr>
              <w:spacing w:after="0"/>
              <w:jc w:val="left"/>
            </w:pPr>
            <w:r>
              <w:rPr>
                <w:rFonts w:ascii="Times New Roman" w:hAnsi="Times New Roman" w:cs="Times New Roman"/>
                <w:sz w:val="20"/>
              </w:rPr>
              <w:t>16 – 22 Nov</w:t>
            </w:r>
          </w:p>
        </w:tc>
        <w:tc>
          <w:tcPr>
            <w:tcW w:type="dxa" w:w="3888"/>
          </w:tcPr>
          <w:p>
            <w:pPr>
              <w:spacing w:after="0"/>
              <w:jc w:val="center"/>
            </w:pPr>
            <w:r>
              <w:rPr>
                <w:rFonts w:ascii="Times New Roman" w:hAnsi="Times New Roman" w:cs="Times New Roman"/>
                <w:sz w:val="20"/>
              </w:rPr>
              <w:t>Streamlit demonstration dashboard</w:t>
            </w:r>
          </w:p>
        </w:tc>
        <w:tc>
          <w:tcPr>
            <w:tcW w:type="dxa" w:w="2880"/>
          </w:tcPr>
          <w:p>
            <w:pPr>
              <w:spacing w:after="0"/>
              <w:jc w:val="center"/>
            </w:pPr>
            <w:r>
              <w:rPr>
                <w:rFonts w:ascii="Times New Roman" w:hAnsi="Times New Roman" w:cs="Times New Roman"/>
                <w:sz w:val="20"/>
              </w:rPr>
              <w:t>Working demo</w:t>
            </w:r>
          </w:p>
        </w:tc>
      </w:tr>
      <w:tr>
        <w:tc>
          <w:tcPr>
            <w:tcW w:type="dxa" w:w="1872"/>
          </w:tcPr>
          <w:p>
            <w:pPr>
              <w:spacing w:after="0"/>
              <w:jc w:val="left"/>
            </w:pPr>
            <w:r>
              <w:rPr>
                <w:rFonts w:ascii="Times New Roman" w:hAnsi="Times New Roman" w:cs="Times New Roman"/>
                <w:sz w:val="20"/>
              </w:rPr>
              <w:t>23 – 29 Nov</w:t>
            </w:r>
          </w:p>
        </w:tc>
        <w:tc>
          <w:tcPr>
            <w:tcW w:type="dxa" w:w="3888"/>
          </w:tcPr>
          <w:p>
            <w:pPr>
              <w:spacing w:after="0"/>
              <w:jc w:val="center"/>
            </w:pPr>
            <w:r>
              <w:rPr>
                <w:rFonts w:ascii="Times New Roman" w:hAnsi="Times New Roman" w:cs="Times New Roman"/>
                <w:sz w:val="20"/>
              </w:rPr>
              <w:t>Buffer; tidy code; freeze results</w:t>
            </w:r>
          </w:p>
        </w:tc>
        <w:tc>
          <w:tcPr>
            <w:tcW w:type="dxa" w:w="2880"/>
          </w:tcPr>
          <w:p>
            <w:pPr>
              <w:spacing w:after="0"/>
              <w:jc w:val="center"/>
            </w:pPr>
            <w:r>
              <w:rPr>
                <w:rFonts w:ascii="Times New Roman" w:hAnsi="Times New Roman" w:cs="Times New Roman"/>
                <w:sz w:val="20"/>
              </w:rPr>
              <w:t>Final figures and tables</w:t>
            </w:r>
          </w:p>
        </w:tc>
      </w:tr>
      <w:tr>
        <w:tc>
          <w:tcPr>
            <w:tcW w:type="dxa" w:w="1872"/>
          </w:tcPr>
          <w:p>
            <w:pPr>
              <w:spacing w:after="0"/>
              <w:jc w:val="left"/>
            </w:pPr>
            <w:r>
              <w:rPr>
                <w:rFonts w:ascii="Times New Roman" w:hAnsi="Times New Roman" w:cs="Times New Roman"/>
                <w:sz w:val="20"/>
              </w:rPr>
              <w:t>30 Nov – 27 Dec</w:t>
            </w:r>
          </w:p>
        </w:tc>
        <w:tc>
          <w:tcPr>
            <w:tcW w:type="dxa" w:w="3888"/>
          </w:tcPr>
          <w:p>
            <w:pPr>
              <w:spacing w:after="0"/>
              <w:jc w:val="center"/>
            </w:pPr>
            <w:r>
              <w:rPr>
                <w:rFonts w:ascii="Times New Roman" w:hAnsi="Times New Roman" w:cs="Times New Roman"/>
                <w:sz w:val="20"/>
              </w:rPr>
              <w:t>Final report writing and supervisor review</w:t>
            </w:r>
          </w:p>
        </w:tc>
        <w:tc>
          <w:tcPr>
            <w:tcW w:type="dxa" w:w="2880"/>
          </w:tcPr>
          <w:p>
            <w:pPr>
              <w:spacing w:after="0"/>
              <w:jc w:val="center"/>
            </w:pPr>
            <w:r>
              <w:rPr>
                <w:rFonts w:ascii="Times New Roman" w:hAnsi="Times New Roman" w:cs="Times New Roman"/>
                <w:sz w:val="20"/>
              </w:rPr>
              <w:t>Final report</w:t>
            </w:r>
          </w:p>
        </w:tc>
      </w:tr>
      <w:tr>
        <w:tc>
          <w:tcPr>
            <w:tcW w:type="dxa" w:w="1872"/>
          </w:tcPr>
          <w:p>
            <w:pPr>
              <w:spacing w:after="0"/>
              <w:jc w:val="left"/>
            </w:pPr>
            <w:r>
              <w:rPr>
                <w:rFonts w:ascii="Times New Roman" w:hAnsi="Times New Roman" w:cs="Times New Roman"/>
                <w:sz w:val="20"/>
              </w:rPr>
              <w:t>28 Dec – 10 Jan</w:t>
            </w:r>
          </w:p>
        </w:tc>
        <w:tc>
          <w:tcPr>
            <w:tcW w:type="dxa" w:w="3888"/>
          </w:tcPr>
          <w:p>
            <w:pPr>
              <w:spacing w:after="0"/>
              <w:jc w:val="center"/>
            </w:pPr>
            <w:r>
              <w:rPr>
                <w:rFonts w:ascii="Times New Roman" w:hAnsi="Times New Roman" w:cs="Times New Roman"/>
                <w:sz w:val="20"/>
              </w:rPr>
              <w:t>Presentation and viva preparation</w:t>
            </w:r>
          </w:p>
        </w:tc>
        <w:tc>
          <w:tcPr>
            <w:tcW w:type="dxa" w:w="2880"/>
          </w:tcPr>
          <w:p>
            <w:pPr>
              <w:spacing w:after="0"/>
              <w:jc w:val="center"/>
            </w:pPr>
            <w:r>
              <w:rPr>
                <w:rFonts w:ascii="Times New Roman" w:hAnsi="Times New Roman" w:cs="Times New Roman"/>
                <w:sz w:val="20"/>
              </w:rPr>
              <w:t>Final slides</w:t>
            </w:r>
          </w:p>
        </w:tc>
      </w:tr>
    </w:tbl>
    <w:p>
      <w:pPr>
        <w:jc w:val="both"/>
      </w:pPr>
      <w:r>
        <w:rPr>
          <w:rFonts w:ascii="Times New Roman" w:hAnsi="Times New Roman" w:cs="Times New Roman"/>
          <w:sz w:val="24"/>
        </w:rPr>
      </w: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Pr="000E5FC4" w:rsidRDefault="00B362F6" w:rsidP="00B362F6">
      <w:pPr>
        <w:pStyle w:val="Heading1"/>
        <w:rPr>
          <w:rFonts w:ascii="Times New Roman" w:hAnsi="Times New Roman" w:cs="Times New Roman"/>
          <w:sz w:val="24"/>
          <w:szCs w:val="24"/>
        </w:rPr>
      </w:pPr>
      <w:r w:rsidRPr="000E5FC4">
        <w:rPr>
          <w:rFonts w:ascii="Times New Roman" w:hAnsi="Times New Roman" w:cs="Times New Roman"/>
          <w:sz w:val="24"/>
          <w:szCs w:val="24"/>
        </w:rPr>
        <w:t>Expected Outcomes</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Deliverables</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A patient-independent ECG arrhythmia classifier with per-class and macro-averaged results under an inter-patient protocol and on an external database.</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A quantitative evaluation of explanation consistency and clinical plausibility for at least two XAI methods.</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A robustness and uncertainty analysis of both predictions and explanations under realistic NSTDB noise.</w:t>
      </w:r>
    </w:p>
    <w:p w:rsidR="00AD6F9A" w:rsidRPr="000E5FC4" w:rsidRDefault="001F4042">
      <w:pPr>
        <w:tabs>
          <w:tab w:pos="432" w:val="left"/>
        </w:tabs>
        <w:ind w:left="432" w:hanging="432"/>
        <w:jc w:val="both"/>
        <w:rPr>
          <w:rFonts w:ascii="Times New Roman" w:hAnsi="Times New Roman" w:cs="Times New Roman"/>
          <w:sz w:val="24"/>
          <w:szCs w:val="24"/>
        </w:rPr>
      </w:pPr>
      <w:r>
        <w:rPr>
          <w:rFonts w:ascii="Times New Roman" w:hAnsi="Times New Roman" w:cs="Times New Roman"/>
          <w:sz w:val="24"/>
        </w:rPr>
        <w:t>•</w:t>
        <w:tab/>
        <w:t>Source code, final report and presentation.</w:t>
      </w:r>
    </w:p>
    <w:p w:rsidR="00AD6F9A" w:rsidRPr="000E5FC4" w:rsidRDefault="001F4042">
      <w:pPr>
        <w:spacing w:before="120"/>
        <w:jc w:val="left"/>
        <w:rPr>
          <w:rFonts w:ascii="Times New Roman" w:hAnsi="Times New Roman" w:cs="Times New Roman"/>
          <w:sz w:val="24"/>
          <w:szCs w:val="24"/>
        </w:rPr>
      </w:pPr>
      <w:r>
        <w:rPr>
          <w:rFonts w:ascii="Times New Roman" w:hAnsi="Times New Roman" w:cs="Times New Roman"/>
          <w:b/>
          <w:sz w:val="24"/>
        </w:rPr>
        <w:t>Expected Results</w:t>
      </w:r>
    </w:p>
    <w:p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On the intra-patient split, macro F1 of about 90% is expected, in line with the 91.10% already reached in the preliminary experiments. On the inter-patient DS1/DS2 split, performance is expected to be clearly lower, as reported in the literature [1], [11], with S and F remaining the hardest classes; the RR features are expected to improve S recall in particular. For the explanations, V beats are expected to place a larger share of importance on the QRS region than N beats, and deleting the most important samples should lower model confidence much more than deleting random samples. Under NSTDB noise, macro F1 and explanation stability are expected to fall as the SNR decreases from 18 dB to 0 dB.</w:t>
      </w:r>
    </w:p>
    <w:p w:rsidR="00AD6F9A" w:rsidRPr="000E5FC4" w:rsidRDefault="00AD6F9A">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B362F6" w:rsidRPr="000E5FC4" w:rsidRDefault="00B362F6">
      <w:pPr>
        <w:rPr>
          <w:rFonts w:ascii="Times New Roman" w:hAnsi="Times New Roman" w:cs="Times New Roman"/>
          <w:sz w:val="24"/>
          <w:szCs w:val="24"/>
        </w:rPr>
      </w:pP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t>References</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[1] Q. Xiao, K. Lee, S. A. Mokhtar, I. Ismail, A. L. bin Md Pauzi, Q. Zhang, and P. Y. Lim, "Deep learning-based ECG arrhythmia classification: A systematic review," </w:t>
      </w:r>
      <w:r>
        <w:rPr>
          <w:rFonts w:ascii="Times New Roman" w:hAnsi="Times New Roman" w:cs="Times New Roman"/>
          <w:i/>
          <w:sz w:val="24"/>
        </w:rPr>
        <w:t>Applied Sciences</w:t>
      </w:r>
      <w:r>
        <w:rPr>
          <w:rFonts w:ascii="Times New Roman" w:hAnsi="Times New Roman" w:cs="Times New Roman"/>
          <w:sz w:val="24"/>
        </w:rPr>
        <w:t>, vol. 13, Art. no. 4964, 2023.</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[2] N. N. Kulkarni, Nagaraja G. S., B. G. Sudarshan, and Yeriswamy M. C., "Recent advances in deep learning based arrhythmia classification using ECG and PPG signals: A systematic review," </w:t>
      </w:r>
      <w:r>
        <w:rPr>
          <w:rFonts w:ascii="Times New Roman" w:hAnsi="Times New Roman" w:cs="Times New Roman"/>
          <w:i/>
          <w:sz w:val="24"/>
        </w:rPr>
        <w:t>Discover Computing</w:t>
      </w:r>
      <w:r>
        <w:rPr>
          <w:rFonts w:ascii="Times New Roman" w:hAnsi="Times New Roman" w:cs="Times New Roman"/>
          <w:sz w:val="24"/>
        </w:rPr>
        <w:t>, vol. 29, Art. no. 666, 2026.</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[3] J. Beck and A. John, "Explainable AI (XAI) for arrhythmia detection from electrocardiograms," arXiv:2508.17294, 2025.</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[4] G. A. L. Silva, P. H. L. Silva, G. J. P. Moreira, V. L. S. Freitas, J. C. Gertrudes, and E. J. S. Luz, "A systematic review of ECG arrhythmia classification: Adherence to standards, fair evaluation, and embedded feasibility," arXiv:2503.07276, 2025.</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[5] B. A. Hassoon, S. Xiong, M. A. Hasson, R. Salahudeen, A. O. Abdulsalami, and T. Khan, "Dual-branch bidirectional attention fusion of temporal and hierarchical representations for robust ECG arrhythmia classification," </w:t>
      </w:r>
      <w:r>
        <w:rPr>
          <w:rFonts w:ascii="Times New Roman" w:hAnsi="Times New Roman" w:cs="Times New Roman"/>
          <w:i/>
          <w:sz w:val="24"/>
        </w:rPr>
        <w:t>Expert Systems with Applications</w:t>
      </w:r>
      <w:r>
        <w:rPr>
          <w:rFonts w:ascii="Times New Roman" w:hAnsi="Times New Roman" w:cs="Times New Roman"/>
          <w:sz w:val="24"/>
        </w:rPr>
        <w:t>, vol. 331, Art. no. 133409, 2026.</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[6] Z. Ebrahimi, M. Loni, M. Daneshtalab, and A. Gharehbaghi, "A review on deep learning methods for ECG arrhythmia classification," </w:t>
      </w:r>
      <w:r>
        <w:rPr>
          <w:rFonts w:ascii="Times New Roman" w:hAnsi="Times New Roman" w:cs="Times New Roman"/>
          <w:i/>
          <w:sz w:val="24"/>
        </w:rPr>
        <w:t>Expert Systems with Applications: X</w:t>
      </w:r>
      <w:r>
        <w:rPr>
          <w:rFonts w:ascii="Times New Roman" w:hAnsi="Times New Roman" w:cs="Times New Roman"/>
          <w:sz w:val="24"/>
        </w:rPr>
        <w:t>, vol. 7, Art. no. 100033, 2020.</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[7] Y. Ansari, O. Mourad, K. Qaraqe, and E. Serpedin, "Deep learning for ECG arrhythmia detection and classification: An overview of progress for period 2017–2023," </w:t>
      </w:r>
      <w:r>
        <w:rPr>
          <w:rFonts w:ascii="Times New Roman" w:hAnsi="Times New Roman" w:cs="Times New Roman"/>
          <w:i/>
          <w:sz w:val="24"/>
        </w:rPr>
        <w:t>Frontiers in Physiology</w:t>
      </w:r>
      <w:r>
        <w:rPr>
          <w:rFonts w:ascii="Times New Roman" w:hAnsi="Times New Roman" w:cs="Times New Roman"/>
          <w:sz w:val="24"/>
        </w:rPr>
        <w:t>, vol. 14, Art. no. 1246746, 2023.</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[8] N. Alamatsaz, L. Tabatabaei, M. Yazdchi, H. Payan, N. Alamatsaz, and F. Nasimi, "A lightweight hybrid CNN-LSTM explainable model for ECG-based arrhythmia detection," </w:t>
      </w:r>
      <w:r>
        <w:rPr>
          <w:rFonts w:ascii="Times New Roman" w:hAnsi="Times New Roman" w:cs="Times New Roman"/>
          <w:i/>
          <w:sz w:val="24"/>
        </w:rPr>
        <w:t>Biomedical Signal Processing and Control</w:t>
      </w:r>
      <w:r>
        <w:rPr>
          <w:rFonts w:ascii="Times New Roman" w:hAnsi="Times New Roman" w:cs="Times New Roman"/>
          <w:sz w:val="24"/>
        </w:rPr>
        <w:t>, vol. 90, Art. no. 105884, 2024.</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[9] P. Pramkeaw, W. Leangruttananon, P. Suksomboon, T. Tapianthong, and S. Kitdanarakorn, "Deep learning-based ECG arrhythmia detection system: A comparative study of CNN, RNN, and LSTM architectures," in </w:t>
      </w:r>
      <w:r>
        <w:rPr>
          <w:rFonts w:ascii="Times New Roman" w:hAnsi="Times New Roman" w:cs="Times New Roman"/>
          <w:i/>
          <w:sz w:val="24"/>
        </w:rPr>
        <w:t>Proc. 2026 IEEE Int. Conf. Cybernetics and Innovations (ICCI)</w:t>
      </w:r>
      <w:r>
        <w:rPr>
          <w:rFonts w:ascii="Times New Roman" w:hAnsi="Times New Roman" w:cs="Times New Roman"/>
          <w:sz w:val="24"/>
        </w:rPr>
        <w:t>, 2026, doi: 10.1109/ICCI68752.2026.11506504.</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[10] Y. Wang and S. Rani, "Hybrid CNN-LSTM model for ECG-based arrhythmia detection in internet of medical things," </w:t>
      </w:r>
      <w:r>
        <w:rPr>
          <w:rFonts w:ascii="Times New Roman" w:hAnsi="Times New Roman" w:cs="Times New Roman"/>
          <w:i/>
          <w:sz w:val="24"/>
        </w:rPr>
        <w:t>Discover Internet of Things</w:t>
      </w:r>
      <w:r>
        <w:rPr>
          <w:rFonts w:ascii="Times New Roman" w:hAnsi="Times New Roman" w:cs="Times New Roman"/>
          <w:sz w:val="24"/>
        </w:rPr>
        <w:t>, vol. 6, Art. no. 7, 2026.</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[11] Sa. I. Ibrahim, "A hybrid deep learning algorithm for ECG-based heart disease classification," </w:t>
      </w:r>
      <w:r>
        <w:rPr>
          <w:rFonts w:ascii="Times New Roman" w:hAnsi="Times New Roman" w:cs="Times New Roman"/>
          <w:i/>
          <w:sz w:val="24"/>
        </w:rPr>
        <w:t>Scientific Reports</w:t>
      </w:r>
      <w:r>
        <w:rPr>
          <w:rFonts w:ascii="Times New Roman" w:hAnsi="Times New Roman" w:cs="Times New Roman"/>
          <w:sz w:val="24"/>
        </w:rPr>
        <w:t>, vol. 16, Art. no. 29911, 2026.</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[12] S. Qin, L. Han, X. Zhang, Y. Zhang, and N. Li, "ECG beat classification based on dilated multi-scale ResNet and BiLSTM," </w:t>
      </w:r>
      <w:r>
        <w:rPr>
          <w:rFonts w:ascii="Times New Roman" w:hAnsi="Times New Roman" w:cs="Times New Roman"/>
          <w:i/>
          <w:sz w:val="24"/>
        </w:rPr>
        <w:t>Measurement Science and Technology</w:t>
      </w:r>
      <w:r>
        <w:rPr>
          <w:rFonts w:ascii="Times New Roman" w:hAnsi="Times New Roman" w:cs="Times New Roman"/>
          <w:sz w:val="24"/>
        </w:rPr>
        <w:t>, vol. 37, Art. no. 285701, 2026.</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[13] K. K. Reddy C., A. Daduvy, V. S. Kaza, M. Shuaib, M. Mohzary, S. Alam, and A. Sheneamer, "A multi-scale convolutional LSTM-dense network for robust cardiac arrhythmia classification from ECG signals," </w:t>
      </w:r>
      <w:r>
        <w:rPr>
          <w:rFonts w:ascii="Times New Roman" w:hAnsi="Times New Roman" w:cs="Times New Roman"/>
          <w:i/>
          <w:sz w:val="24"/>
        </w:rPr>
        <w:t>Computers in Biology and Medicine</w:t>
      </w:r>
      <w:r>
        <w:rPr>
          <w:rFonts w:ascii="Times New Roman" w:hAnsi="Times New Roman" w:cs="Times New Roman"/>
          <w:sz w:val="24"/>
        </w:rPr>
        <w:t>, vol. 191, Art. no. 110121, 2025.</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[14] H. El-Ghaish and E. Eldele, "ECGTransForm: Empowering adaptive ECG arrhythmia classification framework with bidirectional transformer," </w:t>
      </w:r>
      <w:r>
        <w:rPr>
          <w:rFonts w:ascii="Times New Roman" w:hAnsi="Times New Roman" w:cs="Times New Roman"/>
          <w:i/>
          <w:sz w:val="24"/>
        </w:rPr>
        <w:t>Biomedical Signal Processing and Control</w:t>
      </w:r>
      <w:r>
        <w:rPr>
          <w:rFonts w:ascii="Times New Roman" w:hAnsi="Times New Roman" w:cs="Times New Roman"/>
          <w:sz w:val="24"/>
        </w:rPr>
        <w:t>, vol. 89, Art. no. 105714, 2024.</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[15] S. Huang, S. Chen, Z. Guo, K. Ji, and M. Zhang, "MSCA-TNet based deep learning method for ECG arrhythmia classification," </w:t>
      </w:r>
      <w:r>
        <w:rPr>
          <w:rFonts w:ascii="Times New Roman" w:hAnsi="Times New Roman" w:cs="Times New Roman"/>
          <w:i/>
          <w:sz w:val="24"/>
        </w:rPr>
        <w:t>Scientific Reports</w:t>
      </w:r>
      <w:r>
        <w:rPr>
          <w:rFonts w:ascii="Times New Roman" w:hAnsi="Times New Roman" w:cs="Times New Roman"/>
          <w:sz w:val="24"/>
        </w:rPr>
        <w:t>, vol. 16, Art. no. 28152, 2026, doi: 10.1038/s41598-026-58850-y.</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[16] H. Liu, "A hybrid model combining 1D-CNN and BERT for intelligent ECG arrhythmia classification," </w:t>
      </w:r>
      <w:r>
        <w:rPr>
          <w:rFonts w:ascii="Times New Roman" w:hAnsi="Times New Roman" w:cs="Times New Roman"/>
          <w:i/>
          <w:sz w:val="24"/>
        </w:rPr>
        <w:t>Scientific Reports</w:t>
      </w:r>
      <w:r>
        <w:rPr>
          <w:rFonts w:ascii="Times New Roman" w:hAnsi="Times New Roman" w:cs="Times New Roman"/>
          <w:sz w:val="24"/>
        </w:rPr>
        <w:t>, vol. 15, Art. no. 44456, 2025.</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[17] D. Kim, K. R. Lee, D. S. Lim, K. H. Lee, J. S. Lee, D.-Y. Kim, and C.-B. Sohn, "A novel hybrid CNN-transformer model for arrhythmia detection without R-peak identification using stockwell transform," </w:t>
      </w:r>
      <w:r>
        <w:rPr>
          <w:rFonts w:ascii="Times New Roman" w:hAnsi="Times New Roman" w:cs="Times New Roman"/>
          <w:i/>
          <w:sz w:val="24"/>
        </w:rPr>
        <w:t>Scientific Reports</w:t>
      </w:r>
      <w:r>
        <w:rPr>
          <w:rFonts w:ascii="Times New Roman" w:hAnsi="Times New Roman" w:cs="Times New Roman"/>
          <w:sz w:val="24"/>
        </w:rPr>
        <w:t>, vol. 15, Art. no. 7817, 2025.</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[18] Q. Chen, C. Lian, B. Xu, Q. Zhou, Y. Su, and Z. Zeng, "Large language model-assisted multi-scale hierarchical classification of ECG signals," </w:t>
      </w:r>
      <w:r>
        <w:rPr>
          <w:rFonts w:ascii="Times New Roman" w:hAnsi="Times New Roman" w:cs="Times New Roman"/>
          <w:i/>
          <w:sz w:val="24"/>
        </w:rPr>
        <w:t>Knowledge-Based Systems</w:t>
      </w:r>
      <w:r>
        <w:rPr>
          <w:rFonts w:ascii="Times New Roman" w:hAnsi="Times New Roman" w:cs="Times New Roman"/>
          <w:sz w:val="24"/>
        </w:rPr>
        <w:t>, vol. 324, Art. no. 113807, 2025.</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[19] A. Anand, T. Kadian, M. K. Shetty, and A. Gupta, "Explainable AI decision model for ECG data of cardiac disorders," </w:t>
      </w:r>
      <w:r>
        <w:rPr>
          <w:rFonts w:ascii="Times New Roman" w:hAnsi="Times New Roman" w:cs="Times New Roman"/>
          <w:i/>
          <w:sz w:val="24"/>
        </w:rPr>
        <w:t>Biomedical Signal Processing and Control</w:t>
      </w:r>
      <w:r>
        <w:rPr>
          <w:rFonts w:ascii="Times New Roman" w:hAnsi="Times New Roman" w:cs="Times New Roman"/>
          <w:sz w:val="24"/>
        </w:rPr>
        <w:t>, vol. 75, Art. no. 103584, 2022.</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[20] M. Lee, J. Lim, and J. Kim, "ECG-GraphNet: Advanced arrhythmia classification based on graph convolutional networks," </w:t>
      </w:r>
      <w:r>
        <w:rPr>
          <w:rFonts w:ascii="Times New Roman" w:hAnsi="Times New Roman" w:cs="Times New Roman"/>
          <w:i/>
          <w:sz w:val="24"/>
        </w:rPr>
        <w:t>Heart Rhythm O2</w:t>
      </w:r>
      <w:r>
        <w:rPr>
          <w:rFonts w:ascii="Times New Roman" w:hAnsi="Times New Roman" w:cs="Times New Roman"/>
          <w:sz w:val="24"/>
        </w:rPr>
        <w:t>, vol. 6, no. 8, pp. 1199–1211, 2025.</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[21] J. J. Kolliyil and M. C. Brindise, "Automated detection of arrhythmias using a novel interpretable feature set extracted from 12-lead electrocardiogram," </w:t>
      </w:r>
      <w:r>
        <w:rPr>
          <w:rFonts w:ascii="Times New Roman" w:hAnsi="Times New Roman" w:cs="Times New Roman"/>
          <w:i/>
          <w:sz w:val="24"/>
        </w:rPr>
        <w:t>Computers in Biology and Medicine</w:t>
      </w:r>
      <w:r>
        <w:rPr>
          <w:rFonts w:ascii="Times New Roman" w:hAnsi="Times New Roman" w:cs="Times New Roman"/>
          <w:sz w:val="24"/>
        </w:rPr>
        <w:t>, vol. 189, Art. no. 109957, 2025.</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[22] M. A. Talukder, A. S. Talaat, N. J. Muna, A. Alazab, M. Kazi, and U. K. Das, "An explainable deep learning framework for trustworthy arrhythmia detection from ECG signals," </w:t>
      </w:r>
      <w:r>
        <w:rPr>
          <w:rFonts w:ascii="Times New Roman" w:hAnsi="Times New Roman" w:cs="Times New Roman"/>
          <w:i/>
          <w:sz w:val="24"/>
        </w:rPr>
        <w:t>Scientific Reports</w:t>
      </w:r>
      <w:r>
        <w:rPr>
          <w:rFonts w:ascii="Times New Roman" w:hAnsi="Times New Roman" w:cs="Times New Roman"/>
          <w:sz w:val="24"/>
        </w:rPr>
        <w:t>, vol. 15, Art. no. 39496, 2025.</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[23] V. Asha, P. Kavitha, R. Sri Gokulam, S. Ciyamala Kushbu, M. Jayashree, and N. Gayathri, "ECG arrhythmia classification a lightweight, explainable, and web-deployable deep learning framework using knowledge-distilled GAN features and Flask," </w:t>
      </w:r>
      <w:r>
        <w:rPr>
          <w:rFonts w:ascii="Times New Roman" w:hAnsi="Times New Roman" w:cs="Times New Roman"/>
          <w:i/>
          <w:sz w:val="24"/>
        </w:rPr>
        <w:t>Natural Resources for Human Health</w:t>
      </w:r>
      <w:r>
        <w:rPr>
          <w:rFonts w:ascii="Times New Roman" w:hAnsi="Times New Roman" w:cs="Times New Roman"/>
          <w:sz w:val="24"/>
        </w:rPr>
        <w:t>, vol. 6, no. 14s, pp. 289–296, 2026.</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[24] P. Kavitha and L. Shakkeera, "An explainable deep learning framework for accurate and automated cardiac arrhythmia classification using electrocardiogram signals," </w:t>
      </w:r>
      <w:r>
        <w:rPr>
          <w:rFonts w:ascii="Times New Roman" w:hAnsi="Times New Roman" w:cs="Times New Roman"/>
          <w:i/>
          <w:sz w:val="24"/>
        </w:rPr>
        <w:t>Biomedical Signal Processing and Control</w:t>
      </w:r>
      <w:r>
        <w:rPr>
          <w:rFonts w:ascii="Times New Roman" w:hAnsi="Times New Roman" w:cs="Times New Roman"/>
          <w:sz w:val="24"/>
        </w:rPr>
        <w:t>, vol. 117, Art. no. 109590, 2026.</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[25] D. Tenepalli and T. M. Navamani, "Design of an explainable deep learning framework for ECG-based arrhythmia prediction," </w:t>
      </w:r>
      <w:r>
        <w:rPr>
          <w:rFonts w:ascii="Times New Roman" w:hAnsi="Times New Roman" w:cs="Times New Roman"/>
          <w:i/>
          <w:sz w:val="24"/>
        </w:rPr>
        <w:t>IEEE Access</w:t>
      </w:r>
      <w:r>
        <w:rPr>
          <w:rFonts w:ascii="Times New Roman" w:hAnsi="Times New Roman" w:cs="Times New Roman"/>
          <w:sz w:val="24"/>
        </w:rPr>
        <w:t>, vol. 13, pp. 200754–, 2025, doi: 10.1109/ACCESS.2025.3636481.</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[26] J.-H. Jang, Y.-Y. Jo, S. Kang, J. M. Son, H. S. Lee, J. Kwon, and M. S. Lee, "A novel XAI framework for explainable AI-ECG using generative counterfactual XAI (GCX)," </w:t>
      </w:r>
      <w:r>
        <w:rPr>
          <w:rFonts w:ascii="Times New Roman" w:hAnsi="Times New Roman" w:cs="Times New Roman"/>
          <w:i/>
          <w:sz w:val="24"/>
        </w:rPr>
        <w:t>Scientific Reports</w:t>
      </w:r>
      <w:r>
        <w:rPr>
          <w:rFonts w:ascii="Times New Roman" w:hAnsi="Times New Roman" w:cs="Times New Roman"/>
          <w:sz w:val="24"/>
        </w:rPr>
        <w:t>, vol. 15, Art. no. 23608, 2025.</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[27] S. Smigiel, K. Palczynski, and D. Ledzinski, "ECG signal classification using deep learning techniques based on the PTB-XL dataset," </w:t>
      </w:r>
      <w:r>
        <w:rPr>
          <w:rFonts w:ascii="Times New Roman" w:hAnsi="Times New Roman" w:cs="Times New Roman"/>
          <w:i/>
          <w:sz w:val="24"/>
        </w:rPr>
        <w:t>Entropy</w:t>
      </w:r>
      <w:r>
        <w:rPr>
          <w:rFonts w:ascii="Times New Roman" w:hAnsi="Times New Roman" w:cs="Times New Roman"/>
          <w:sz w:val="24"/>
        </w:rPr>
        <w:t>, vol. 23, Art. no. 1121, 2021.</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[28] N. A. Mehdi and A. A. Drigh, "ECG classification on PTB-XL: A data-centric approach with simplified CNN-VAE," arXiv:2603.07558, 2026.</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[29] Y. Jeong, J. Lee, and M. Shin, "Enhancing inter-patient performance for arrhythmia classification with adversarial learning using beat-score maps," </w:t>
      </w:r>
      <w:r>
        <w:rPr>
          <w:rFonts w:ascii="Times New Roman" w:hAnsi="Times New Roman" w:cs="Times New Roman"/>
          <w:i/>
          <w:sz w:val="24"/>
        </w:rPr>
        <w:t>Applied Sciences</w:t>
      </w:r>
      <w:r>
        <w:rPr>
          <w:rFonts w:ascii="Times New Roman" w:hAnsi="Times New Roman" w:cs="Times New Roman"/>
          <w:sz w:val="24"/>
        </w:rPr>
        <w:t>, vol. 14, Art. no. 7227, 2024.</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[30] M. Ashhad, S. Rahmani, M. Fayiz, A. Etemad, and J. Hashemi, "Uncertainty-aware multi-view arrhythmia classification from ECG," arXiv:2506.06342, 2025 (published at IJCNN 2024).</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[31] R. S. Pashikanti, A. A. Shinde, and C. Y. Patil, "Adaptive predictive control-based noise cancellation with deep learning for arrhythmia classification from ECG signals," in </w:t>
      </w:r>
      <w:r>
        <w:rPr>
          <w:rFonts w:ascii="Times New Roman" w:hAnsi="Times New Roman" w:cs="Times New Roman"/>
          <w:i/>
          <w:sz w:val="24"/>
        </w:rPr>
        <w:t>Proc. 2022 Int. Conf. Intelligent Innovations in Engineering and Technology (ICIIET)</w:t>
      </w:r>
      <w:r>
        <w:rPr>
          <w:rFonts w:ascii="Times New Roman" w:hAnsi="Times New Roman" w:cs="Times New Roman"/>
          <w:sz w:val="24"/>
        </w:rPr>
        <w:t>, 2022, doi: 10.1109/ICIIET55458.2022.9967602.</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[32] J. P. Maurya, M. Manoria, and S. Joshi, "A proposed deep learning model for multichannel ECG noise reduction," </w:t>
      </w:r>
      <w:r>
        <w:rPr>
          <w:rFonts w:ascii="Times New Roman" w:hAnsi="Times New Roman" w:cs="Times New Roman"/>
          <w:i/>
          <w:sz w:val="24"/>
        </w:rPr>
        <w:t>Discover Artificial Intelligence</w:t>
      </w:r>
      <w:r>
        <w:rPr>
          <w:rFonts w:ascii="Times New Roman" w:hAnsi="Times New Roman" w:cs="Times New Roman"/>
          <w:sz w:val="24"/>
        </w:rPr>
        <w:t>, vol. 5, Art. no. 65, 2025, doi: 10.1007/s44163-025-00292-y.</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[33] W. Zhang, X. Di, G. Wei, S. Geng, Z. Fu, and S. Hong, "Cardiac arrhythmia classification with rejection of ECG recordings based on uncertainty estimation from deep neural networks," </w:t>
      </w:r>
      <w:r>
        <w:rPr>
          <w:rFonts w:ascii="Times New Roman" w:hAnsi="Times New Roman" w:cs="Times New Roman"/>
          <w:i/>
          <w:sz w:val="24"/>
        </w:rPr>
        <w:t>Neural Computing and Applications</w:t>
      </w:r>
      <w:r>
        <w:rPr>
          <w:rFonts w:ascii="Times New Roman" w:hAnsi="Times New Roman" w:cs="Times New Roman"/>
          <w:sz w:val="24"/>
        </w:rPr>
        <w:t>, vol. 36, pp. 4047–4058, 2024.</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 xml:space="preserve">[34] K. Mallikarjunamallu and S. Khasim, "Arrhythmia classification using noise filtering and 1D CNN," </w:t>
      </w:r>
      <w:r>
        <w:rPr>
          <w:rFonts w:ascii="Times New Roman" w:hAnsi="Times New Roman" w:cs="Times New Roman"/>
          <w:i/>
          <w:sz w:val="24"/>
        </w:rPr>
        <w:t>Traitement du Signal</w:t>
      </w:r>
      <w:r>
        <w:rPr>
          <w:rFonts w:ascii="Times New Roman" w:hAnsi="Times New Roman" w:cs="Times New Roman"/>
          <w:sz w:val="24"/>
        </w:rPr>
        <w:t>, vol. 41, no. 4, pp. 1847–1859, Aug. 2024.</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[35] M. Kachuee, S. Fazeli, and M. Sarrafzadeh, "ECG heartbeat classification: A deep transferable representation," in Proc. IEEE Int. Conf. Healthcare Informatics (ICHI), 2018, pp. 443–444.</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[36] K. He, X. Zhang, S. Ren, and J. Sun, "Deep residual learning for image recognition," in Proc. IEEE Conf. Computer Vision and Pattern Recognition (CVPR), 2016, pp. 770–778.</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[37] R. R. Selvaraju, M. Cogswell, A. Das, R. Vedantam, D. Parikh, and D. Batra, "Grad-CAM: Visual explanations from deep networks via gradient-based localization," in Proc. IEEE Int. Conf. Computer Vision (ICCV), 2017, pp. 618–626.</w:t>
      </w:r>
    </w:p>
    <w:p w:rsidR="00AD6F9A" w:rsidRPr="000E5FC4" w:rsidRDefault="001F4042">
      <w:pPr>
        <w:ind w:left="648" w:hanging="648"/>
        <w:jc w:val="left"/>
        <w:rPr>
          <w:rFonts w:ascii="Times New Roman" w:hAnsi="Times New Roman" w:cs="Times New Roman"/>
          <w:sz w:val="24"/>
          <w:szCs w:val="24"/>
        </w:rPr>
      </w:pPr>
      <w:r>
        <w:rPr>
          <w:rFonts w:ascii="Times New Roman" w:hAnsi="Times New Roman" w:cs="Times New Roman"/>
          <w:sz w:val="24"/>
        </w:rPr>
        <w:t>[38] S. M. Lundberg and S.-I. Lee, "A unified approach to interpreting model predictions," in Proc. Advances in Neural Information Processing Systems (NeurIPS), 2017, pp. 4765–4774.</w:t>
      </w:r>
    </w:p>
    <w:sectPr w:rsidR="00AD6F9A" w:rsidRPr="000E5F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5FC4"/>
    <w:rsid w:val="0015074B"/>
    <w:rsid w:val="001F4042"/>
    <w:rsid w:val="0029639D"/>
    <w:rsid w:val="00326F90"/>
    <w:rsid w:val="00AA1D8D"/>
    <w:rsid w:val="00AD6F9A"/>
    <w:rsid w:val="00AF57E0"/>
    <w:rsid w:val="00B362F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13FEA49-9662-4C7E-B546-7927259A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5A02D-ACB0-43B1-8B65-FD76B5ECC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6</Pages>
  <Words>96</Words>
  <Characters>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Tripti Goel</cp:lastModifiedBy>
  <cp:revision>5</cp:revision>
  <dcterms:created xsi:type="dcterms:W3CDTF">2013-12-23T23:15:00Z</dcterms:created>
  <dcterms:modified xsi:type="dcterms:W3CDTF">2025-09-10T10:21:00Z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53a4b2c0-cd19-4d76-8729-fe7d88b9c591</vt:lpwstr>
  </property>
</Properties>
</file>