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F88B" w14:textId="77777777" w:rsidR="00A117B3" w:rsidRPr="00A117B3" w:rsidRDefault="00A117B3" w:rsidP="00A117B3">
      <w:pPr>
        <w:spacing w:line="480" w:lineRule="auto"/>
        <w:rPr>
          <w:rFonts w:ascii="Arial" w:hAnsi="Arial" w:cs="Arial"/>
          <w:b/>
          <w:bCs/>
        </w:rPr>
      </w:pPr>
      <w:r w:rsidRPr="00A117B3">
        <w:rPr>
          <w:rFonts w:ascii="Arial" w:hAnsi="Arial" w:cs="Arial"/>
          <w:b/>
          <w:bCs/>
        </w:rPr>
        <w:t>Methodology Document: Scoring Compound V2 Wallets</w:t>
      </w:r>
    </w:p>
    <w:p w14:paraId="66A1CC07" w14:textId="77777777" w:rsidR="00A117B3" w:rsidRPr="00A117B3" w:rsidRDefault="00A117B3" w:rsidP="00A117B3">
      <w:pPr>
        <w:rPr>
          <w:rFonts w:ascii="Arial" w:hAnsi="Arial" w:cs="Arial"/>
          <w:b/>
          <w:bCs/>
        </w:rPr>
      </w:pPr>
      <w:r w:rsidRPr="00A117B3">
        <w:rPr>
          <w:rFonts w:ascii="Arial" w:hAnsi="Arial" w:cs="Arial"/>
          <w:b/>
          <w:bCs/>
        </w:rPr>
        <w:t>Objective</w:t>
      </w:r>
    </w:p>
    <w:p w14:paraId="681D1928" w14:textId="77777777" w:rsidR="00A117B3" w:rsidRPr="00A117B3" w:rsidRDefault="00A117B3" w:rsidP="00A117B3">
      <w:pPr>
        <w:rPr>
          <w:rFonts w:ascii="Arial" w:hAnsi="Arial" w:cs="Arial"/>
        </w:rPr>
      </w:pPr>
      <w:r w:rsidRPr="00A117B3">
        <w:rPr>
          <w:rFonts w:ascii="Arial" w:hAnsi="Arial" w:cs="Arial"/>
        </w:rPr>
        <w:t xml:space="preserve">The objective is to assign a </w:t>
      </w:r>
      <w:r w:rsidRPr="00A117B3">
        <w:rPr>
          <w:rFonts w:ascii="Arial" w:hAnsi="Arial" w:cs="Arial"/>
          <w:b/>
          <w:bCs/>
        </w:rPr>
        <w:t>credit score (ranging from 0 to 100)</w:t>
      </w:r>
      <w:r w:rsidRPr="00A117B3">
        <w:rPr>
          <w:rFonts w:ascii="Arial" w:hAnsi="Arial" w:cs="Arial"/>
        </w:rPr>
        <w:t xml:space="preserve"> to each wallet that has interacted with the Compound V2 protocol. This score reflects the wallet's historical behavior and reliability. Higher scores indicate responsible, long-term, protocol-aligned usage, while lower scores are associated with risky, short-term, or exploitative behavior.</w:t>
      </w:r>
    </w:p>
    <w:p w14:paraId="3F5B13F5" w14:textId="77777777" w:rsidR="00A117B3" w:rsidRPr="00A117B3" w:rsidRDefault="00A117B3" w:rsidP="00A117B3">
      <w:pPr>
        <w:rPr>
          <w:rFonts w:ascii="Arial" w:hAnsi="Arial" w:cs="Arial"/>
          <w:b/>
          <w:bCs/>
        </w:rPr>
      </w:pPr>
      <w:r w:rsidRPr="00A117B3">
        <w:rPr>
          <w:rFonts w:ascii="Arial" w:hAnsi="Arial" w:cs="Arial"/>
          <w:b/>
          <w:bCs/>
        </w:rPr>
        <w:t>Data Overview</w:t>
      </w:r>
    </w:p>
    <w:p w14:paraId="24198495" w14:textId="77777777" w:rsidR="00A117B3" w:rsidRPr="00A117B3" w:rsidRDefault="00A117B3" w:rsidP="00A117B3">
      <w:pPr>
        <w:rPr>
          <w:rFonts w:ascii="Arial" w:hAnsi="Arial" w:cs="Arial"/>
        </w:rPr>
      </w:pPr>
      <w:r w:rsidRPr="00A117B3">
        <w:rPr>
          <w:rFonts w:ascii="Arial" w:hAnsi="Arial" w:cs="Arial"/>
        </w:rPr>
        <w:t>We utilized raw transaction-level logs from the Compound V2 protocol. The transactions include key actions such as deposit, withdraw, borrow, repay, and liquidation. To ensure representative coverage, the three largest files by size were selected from the provided dataset, maximizing wallet diversity and volume.</w:t>
      </w:r>
    </w:p>
    <w:p w14:paraId="02001529" w14:textId="77777777" w:rsidR="00A117B3" w:rsidRPr="00A117B3" w:rsidRDefault="00A117B3" w:rsidP="00A117B3">
      <w:pPr>
        <w:rPr>
          <w:rFonts w:ascii="Arial" w:hAnsi="Arial" w:cs="Arial"/>
          <w:b/>
          <w:bCs/>
        </w:rPr>
      </w:pPr>
      <w:r w:rsidRPr="00A117B3">
        <w:rPr>
          <w:rFonts w:ascii="Arial" w:hAnsi="Arial" w:cs="Arial"/>
          <w:b/>
          <w:bCs/>
        </w:rPr>
        <w:t>Behavioral Assumptions</w:t>
      </w:r>
    </w:p>
    <w:p w14:paraId="58386EE1" w14:textId="77777777" w:rsidR="00A117B3" w:rsidRPr="00A117B3" w:rsidRDefault="00A117B3" w:rsidP="00A117B3">
      <w:pPr>
        <w:rPr>
          <w:rFonts w:ascii="Arial" w:hAnsi="Arial" w:cs="Arial"/>
        </w:rPr>
      </w:pPr>
      <w:r w:rsidRPr="00A117B3">
        <w:rPr>
          <w:rFonts w:ascii="Arial" w:hAnsi="Arial" w:cs="Arial"/>
          <w:b/>
          <w:bCs/>
        </w:rPr>
        <w:t>Positive (Good) Behavior:</w:t>
      </w:r>
    </w:p>
    <w:p w14:paraId="0802954C" w14:textId="77777777" w:rsidR="00A117B3" w:rsidRPr="00A117B3" w:rsidRDefault="00A117B3" w:rsidP="00A117B3">
      <w:pPr>
        <w:numPr>
          <w:ilvl w:val="0"/>
          <w:numId w:val="1"/>
        </w:numPr>
        <w:rPr>
          <w:rFonts w:ascii="Arial" w:hAnsi="Arial" w:cs="Arial"/>
        </w:rPr>
      </w:pPr>
      <w:r w:rsidRPr="00A117B3">
        <w:rPr>
          <w:rFonts w:ascii="Arial" w:hAnsi="Arial" w:cs="Arial"/>
        </w:rPr>
        <w:t>Regular, consistent interaction with the protocol</w:t>
      </w:r>
    </w:p>
    <w:p w14:paraId="662629C6" w14:textId="77777777" w:rsidR="00A117B3" w:rsidRPr="00A117B3" w:rsidRDefault="00A117B3" w:rsidP="00A117B3">
      <w:pPr>
        <w:numPr>
          <w:ilvl w:val="0"/>
          <w:numId w:val="1"/>
        </w:numPr>
        <w:rPr>
          <w:rFonts w:ascii="Arial" w:hAnsi="Arial" w:cs="Arial"/>
        </w:rPr>
      </w:pPr>
      <w:r w:rsidRPr="00A117B3">
        <w:rPr>
          <w:rFonts w:ascii="Arial" w:hAnsi="Arial" w:cs="Arial"/>
        </w:rPr>
        <w:t>Higher repay ratios (i.e., repayment of borrowed funds)</w:t>
      </w:r>
    </w:p>
    <w:p w14:paraId="611D6E5D" w14:textId="77777777" w:rsidR="00A117B3" w:rsidRPr="00A117B3" w:rsidRDefault="00A117B3" w:rsidP="00A117B3">
      <w:pPr>
        <w:numPr>
          <w:ilvl w:val="0"/>
          <w:numId w:val="1"/>
        </w:numPr>
        <w:rPr>
          <w:rFonts w:ascii="Arial" w:hAnsi="Arial" w:cs="Arial"/>
        </w:rPr>
      </w:pPr>
      <w:r w:rsidRPr="00A117B3">
        <w:rPr>
          <w:rFonts w:ascii="Arial" w:hAnsi="Arial" w:cs="Arial"/>
        </w:rPr>
        <w:t>Minimal or no liquidation events</w:t>
      </w:r>
    </w:p>
    <w:p w14:paraId="411FD308" w14:textId="77777777" w:rsidR="00A117B3" w:rsidRPr="00A117B3" w:rsidRDefault="00A117B3" w:rsidP="00A117B3">
      <w:pPr>
        <w:numPr>
          <w:ilvl w:val="0"/>
          <w:numId w:val="1"/>
        </w:numPr>
        <w:rPr>
          <w:rFonts w:ascii="Arial" w:hAnsi="Arial" w:cs="Arial"/>
        </w:rPr>
      </w:pPr>
      <w:r w:rsidRPr="00A117B3">
        <w:rPr>
          <w:rFonts w:ascii="Arial" w:hAnsi="Arial" w:cs="Arial"/>
        </w:rPr>
        <w:t>Balanced use of deposits and borrows</w:t>
      </w:r>
    </w:p>
    <w:p w14:paraId="7CEFAD4C" w14:textId="77777777" w:rsidR="00A117B3" w:rsidRPr="00A117B3" w:rsidRDefault="00A117B3" w:rsidP="00A117B3">
      <w:pPr>
        <w:numPr>
          <w:ilvl w:val="0"/>
          <w:numId w:val="1"/>
        </w:numPr>
        <w:rPr>
          <w:rFonts w:ascii="Arial" w:hAnsi="Arial" w:cs="Arial"/>
        </w:rPr>
      </w:pPr>
      <w:r w:rsidRPr="00A117B3">
        <w:rPr>
          <w:rFonts w:ascii="Arial" w:hAnsi="Arial" w:cs="Arial"/>
        </w:rPr>
        <w:t>High overall activity volume and active days</w:t>
      </w:r>
    </w:p>
    <w:p w14:paraId="11D8432F" w14:textId="77777777" w:rsidR="00A117B3" w:rsidRPr="00A117B3" w:rsidRDefault="00A117B3" w:rsidP="00A117B3">
      <w:pPr>
        <w:rPr>
          <w:rFonts w:ascii="Arial" w:hAnsi="Arial" w:cs="Arial"/>
        </w:rPr>
      </w:pPr>
      <w:r w:rsidRPr="00A117B3">
        <w:rPr>
          <w:rFonts w:ascii="Arial" w:hAnsi="Arial" w:cs="Arial"/>
          <w:b/>
          <w:bCs/>
        </w:rPr>
        <w:t>Negative (Risky) Behavior:</w:t>
      </w:r>
    </w:p>
    <w:p w14:paraId="30961E3E" w14:textId="77777777" w:rsidR="00A117B3" w:rsidRPr="00A117B3" w:rsidRDefault="00A117B3" w:rsidP="00A117B3">
      <w:pPr>
        <w:numPr>
          <w:ilvl w:val="0"/>
          <w:numId w:val="2"/>
        </w:numPr>
        <w:rPr>
          <w:rFonts w:ascii="Arial" w:hAnsi="Arial" w:cs="Arial"/>
        </w:rPr>
      </w:pPr>
      <w:r w:rsidRPr="00A117B3">
        <w:rPr>
          <w:rFonts w:ascii="Arial" w:hAnsi="Arial" w:cs="Arial"/>
        </w:rPr>
        <w:t>High liquidation rates</w:t>
      </w:r>
    </w:p>
    <w:p w14:paraId="0A1304E5" w14:textId="77777777" w:rsidR="00A117B3" w:rsidRPr="00A117B3" w:rsidRDefault="00A117B3" w:rsidP="00A117B3">
      <w:pPr>
        <w:numPr>
          <w:ilvl w:val="0"/>
          <w:numId w:val="2"/>
        </w:numPr>
        <w:rPr>
          <w:rFonts w:ascii="Arial" w:hAnsi="Arial" w:cs="Arial"/>
        </w:rPr>
      </w:pPr>
      <w:r w:rsidRPr="00A117B3">
        <w:rPr>
          <w:rFonts w:ascii="Arial" w:hAnsi="Arial" w:cs="Arial"/>
        </w:rPr>
        <w:t>Little or no repayments</w:t>
      </w:r>
    </w:p>
    <w:p w14:paraId="16AF8CE7" w14:textId="77777777" w:rsidR="00A117B3" w:rsidRPr="00A117B3" w:rsidRDefault="00A117B3" w:rsidP="00A117B3">
      <w:pPr>
        <w:numPr>
          <w:ilvl w:val="0"/>
          <w:numId w:val="2"/>
        </w:numPr>
        <w:rPr>
          <w:rFonts w:ascii="Arial" w:hAnsi="Arial" w:cs="Arial"/>
        </w:rPr>
      </w:pPr>
      <w:r w:rsidRPr="00A117B3">
        <w:rPr>
          <w:rFonts w:ascii="Arial" w:hAnsi="Arial" w:cs="Arial"/>
        </w:rPr>
        <w:t>One-off or extremely short-lived interaction</w:t>
      </w:r>
    </w:p>
    <w:p w14:paraId="67BD26DF" w14:textId="77777777" w:rsidR="00A117B3" w:rsidRPr="00A117B3" w:rsidRDefault="00A117B3" w:rsidP="00A117B3">
      <w:pPr>
        <w:numPr>
          <w:ilvl w:val="0"/>
          <w:numId w:val="2"/>
        </w:numPr>
        <w:rPr>
          <w:rFonts w:ascii="Arial" w:hAnsi="Arial" w:cs="Arial"/>
        </w:rPr>
      </w:pPr>
      <w:r w:rsidRPr="00A117B3">
        <w:rPr>
          <w:rFonts w:ascii="Arial" w:hAnsi="Arial" w:cs="Arial"/>
        </w:rPr>
        <w:t>Unbalanced behavior (e.g., borrowing without collateral deposits)</w:t>
      </w:r>
    </w:p>
    <w:p w14:paraId="5E89389D" w14:textId="77777777" w:rsidR="00A117B3" w:rsidRPr="00A117B3" w:rsidRDefault="00A117B3" w:rsidP="00A117B3">
      <w:pPr>
        <w:rPr>
          <w:rFonts w:ascii="Arial" w:hAnsi="Arial" w:cs="Arial"/>
          <w:b/>
          <w:bCs/>
        </w:rPr>
      </w:pPr>
      <w:r w:rsidRPr="00A117B3">
        <w:rPr>
          <w:rFonts w:ascii="Arial" w:hAnsi="Arial" w:cs="Arial"/>
          <w:b/>
          <w:bCs/>
        </w:rPr>
        <w:t>Feature Engineering</w:t>
      </w:r>
    </w:p>
    <w:p w14:paraId="514DC5B0" w14:textId="77777777" w:rsidR="00A117B3" w:rsidRPr="00A117B3" w:rsidRDefault="00A117B3" w:rsidP="00A117B3">
      <w:pPr>
        <w:rPr>
          <w:rFonts w:ascii="Arial" w:hAnsi="Arial" w:cs="Arial"/>
        </w:rPr>
      </w:pPr>
      <w:r w:rsidRPr="00A117B3">
        <w:rPr>
          <w:rFonts w:ascii="Arial" w:hAnsi="Arial" w:cs="Arial"/>
        </w:rPr>
        <w:t>The raw logs were aggregated into wallet-level features capturing behavioral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6710"/>
      </w:tblGrid>
      <w:tr w:rsidR="00A117B3" w:rsidRPr="00A117B3" w14:paraId="39BA6AA6" w14:textId="77777777" w:rsidTr="00A117B3">
        <w:trPr>
          <w:tblHeader/>
          <w:tblCellSpacing w:w="15" w:type="dxa"/>
        </w:trPr>
        <w:tc>
          <w:tcPr>
            <w:tcW w:w="0" w:type="auto"/>
            <w:vAlign w:val="center"/>
            <w:hideMark/>
          </w:tcPr>
          <w:p w14:paraId="2FA5C4EF" w14:textId="77777777" w:rsidR="00A117B3" w:rsidRPr="00A117B3" w:rsidRDefault="00A117B3" w:rsidP="00A117B3">
            <w:pPr>
              <w:rPr>
                <w:rFonts w:ascii="Arial" w:hAnsi="Arial" w:cs="Arial"/>
                <w:b/>
                <w:bCs/>
              </w:rPr>
            </w:pPr>
            <w:r w:rsidRPr="00A117B3">
              <w:rPr>
                <w:rFonts w:ascii="Arial" w:hAnsi="Arial" w:cs="Arial"/>
                <w:b/>
                <w:bCs/>
              </w:rPr>
              <w:t>Feature</w:t>
            </w:r>
          </w:p>
        </w:tc>
        <w:tc>
          <w:tcPr>
            <w:tcW w:w="0" w:type="auto"/>
            <w:vAlign w:val="center"/>
            <w:hideMark/>
          </w:tcPr>
          <w:p w14:paraId="0580D00E" w14:textId="77777777" w:rsidR="00A117B3" w:rsidRPr="00A117B3" w:rsidRDefault="00A117B3" w:rsidP="00A117B3">
            <w:pPr>
              <w:rPr>
                <w:rFonts w:ascii="Arial" w:hAnsi="Arial" w:cs="Arial"/>
                <w:b/>
                <w:bCs/>
              </w:rPr>
            </w:pPr>
            <w:r w:rsidRPr="00A117B3">
              <w:rPr>
                <w:rFonts w:ascii="Arial" w:hAnsi="Arial" w:cs="Arial"/>
                <w:b/>
                <w:bCs/>
              </w:rPr>
              <w:t>Description</w:t>
            </w:r>
          </w:p>
        </w:tc>
      </w:tr>
      <w:tr w:rsidR="00A117B3" w:rsidRPr="00A117B3" w14:paraId="05DC7089" w14:textId="77777777" w:rsidTr="00A117B3">
        <w:trPr>
          <w:tblCellSpacing w:w="15" w:type="dxa"/>
        </w:trPr>
        <w:tc>
          <w:tcPr>
            <w:tcW w:w="0" w:type="auto"/>
            <w:vAlign w:val="center"/>
            <w:hideMark/>
          </w:tcPr>
          <w:p w14:paraId="3F9A39AC" w14:textId="77777777" w:rsidR="00A117B3" w:rsidRPr="00A117B3" w:rsidRDefault="00A117B3" w:rsidP="00A117B3">
            <w:pPr>
              <w:rPr>
                <w:rFonts w:ascii="Arial" w:hAnsi="Arial" w:cs="Arial"/>
              </w:rPr>
            </w:pPr>
            <w:proofErr w:type="spellStart"/>
            <w:r w:rsidRPr="00A117B3">
              <w:rPr>
                <w:rFonts w:ascii="Arial" w:hAnsi="Arial" w:cs="Arial"/>
              </w:rPr>
              <w:t>net_deposit_usd</w:t>
            </w:r>
            <w:proofErr w:type="spellEnd"/>
          </w:p>
        </w:tc>
        <w:tc>
          <w:tcPr>
            <w:tcW w:w="0" w:type="auto"/>
            <w:vAlign w:val="center"/>
            <w:hideMark/>
          </w:tcPr>
          <w:p w14:paraId="1AA34D62" w14:textId="77777777" w:rsidR="00A117B3" w:rsidRPr="00A117B3" w:rsidRDefault="00A117B3" w:rsidP="00A117B3">
            <w:pPr>
              <w:rPr>
                <w:rFonts w:ascii="Arial" w:hAnsi="Arial" w:cs="Arial"/>
              </w:rPr>
            </w:pPr>
            <w:r w:rsidRPr="00A117B3">
              <w:rPr>
                <w:rFonts w:ascii="Arial" w:hAnsi="Arial" w:cs="Arial"/>
              </w:rPr>
              <w:t>Total deposits minus total withdrawals</w:t>
            </w:r>
          </w:p>
        </w:tc>
      </w:tr>
      <w:tr w:rsidR="00A117B3" w:rsidRPr="00A117B3" w14:paraId="74482F7E" w14:textId="77777777" w:rsidTr="00A117B3">
        <w:trPr>
          <w:tblCellSpacing w:w="15" w:type="dxa"/>
        </w:trPr>
        <w:tc>
          <w:tcPr>
            <w:tcW w:w="0" w:type="auto"/>
            <w:vAlign w:val="center"/>
            <w:hideMark/>
          </w:tcPr>
          <w:p w14:paraId="74D5F9A1" w14:textId="77777777" w:rsidR="00A117B3" w:rsidRPr="00A117B3" w:rsidRDefault="00A117B3" w:rsidP="00A117B3">
            <w:pPr>
              <w:rPr>
                <w:rFonts w:ascii="Arial" w:hAnsi="Arial" w:cs="Arial"/>
              </w:rPr>
            </w:pPr>
            <w:proofErr w:type="spellStart"/>
            <w:r w:rsidRPr="00A117B3">
              <w:rPr>
                <w:rFonts w:ascii="Arial" w:hAnsi="Arial" w:cs="Arial"/>
              </w:rPr>
              <w:t>net_borrow_usd</w:t>
            </w:r>
            <w:proofErr w:type="spellEnd"/>
          </w:p>
        </w:tc>
        <w:tc>
          <w:tcPr>
            <w:tcW w:w="0" w:type="auto"/>
            <w:vAlign w:val="center"/>
            <w:hideMark/>
          </w:tcPr>
          <w:p w14:paraId="4FD688BA" w14:textId="77777777" w:rsidR="00A117B3" w:rsidRPr="00A117B3" w:rsidRDefault="00A117B3" w:rsidP="00A117B3">
            <w:pPr>
              <w:rPr>
                <w:rFonts w:ascii="Arial" w:hAnsi="Arial" w:cs="Arial"/>
              </w:rPr>
            </w:pPr>
            <w:r w:rsidRPr="00A117B3">
              <w:rPr>
                <w:rFonts w:ascii="Arial" w:hAnsi="Arial" w:cs="Arial"/>
              </w:rPr>
              <w:t>Total borrows minus total repays</w:t>
            </w:r>
          </w:p>
        </w:tc>
      </w:tr>
      <w:tr w:rsidR="00A117B3" w:rsidRPr="00A117B3" w14:paraId="574B9083" w14:textId="77777777" w:rsidTr="00A117B3">
        <w:trPr>
          <w:tblCellSpacing w:w="15" w:type="dxa"/>
        </w:trPr>
        <w:tc>
          <w:tcPr>
            <w:tcW w:w="0" w:type="auto"/>
            <w:vAlign w:val="center"/>
            <w:hideMark/>
          </w:tcPr>
          <w:p w14:paraId="1052F282" w14:textId="77777777" w:rsidR="00A117B3" w:rsidRPr="00A117B3" w:rsidRDefault="00A117B3" w:rsidP="00A117B3">
            <w:pPr>
              <w:rPr>
                <w:rFonts w:ascii="Arial" w:hAnsi="Arial" w:cs="Arial"/>
              </w:rPr>
            </w:pPr>
            <w:proofErr w:type="spellStart"/>
            <w:r w:rsidRPr="00A117B3">
              <w:rPr>
                <w:rFonts w:ascii="Arial" w:hAnsi="Arial" w:cs="Arial"/>
              </w:rPr>
              <w:lastRenderedPageBreak/>
              <w:t>active_days</w:t>
            </w:r>
            <w:proofErr w:type="spellEnd"/>
          </w:p>
        </w:tc>
        <w:tc>
          <w:tcPr>
            <w:tcW w:w="0" w:type="auto"/>
            <w:vAlign w:val="center"/>
            <w:hideMark/>
          </w:tcPr>
          <w:p w14:paraId="592E10E9" w14:textId="77777777" w:rsidR="00A117B3" w:rsidRPr="00A117B3" w:rsidRDefault="00A117B3" w:rsidP="00A117B3">
            <w:pPr>
              <w:rPr>
                <w:rFonts w:ascii="Arial" w:hAnsi="Arial" w:cs="Arial"/>
              </w:rPr>
            </w:pPr>
            <w:r w:rsidRPr="00A117B3">
              <w:rPr>
                <w:rFonts w:ascii="Arial" w:hAnsi="Arial" w:cs="Arial"/>
              </w:rPr>
              <w:t>Number of distinct days the wallet interacted with the protocol</w:t>
            </w:r>
          </w:p>
        </w:tc>
      </w:tr>
      <w:tr w:rsidR="00A117B3" w:rsidRPr="00A117B3" w14:paraId="1A0F6747" w14:textId="77777777" w:rsidTr="00A117B3">
        <w:trPr>
          <w:tblCellSpacing w:w="15" w:type="dxa"/>
        </w:trPr>
        <w:tc>
          <w:tcPr>
            <w:tcW w:w="0" w:type="auto"/>
            <w:vAlign w:val="center"/>
            <w:hideMark/>
          </w:tcPr>
          <w:p w14:paraId="08F3D194" w14:textId="77777777" w:rsidR="00A117B3" w:rsidRPr="00A117B3" w:rsidRDefault="00A117B3" w:rsidP="00A117B3">
            <w:pPr>
              <w:rPr>
                <w:rFonts w:ascii="Arial" w:hAnsi="Arial" w:cs="Arial"/>
              </w:rPr>
            </w:pPr>
            <w:proofErr w:type="spellStart"/>
            <w:r w:rsidRPr="00A117B3">
              <w:rPr>
                <w:rFonts w:ascii="Arial" w:hAnsi="Arial" w:cs="Arial"/>
              </w:rPr>
              <w:t>total_volume_usd</w:t>
            </w:r>
            <w:proofErr w:type="spellEnd"/>
          </w:p>
        </w:tc>
        <w:tc>
          <w:tcPr>
            <w:tcW w:w="0" w:type="auto"/>
            <w:vAlign w:val="center"/>
            <w:hideMark/>
          </w:tcPr>
          <w:p w14:paraId="0CBBC208" w14:textId="77777777" w:rsidR="00A117B3" w:rsidRPr="00A117B3" w:rsidRDefault="00A117B3" w:rsidP="00A117B3">
            <w:pPr>
              <w:rPr>
                <w:rFonts w:ascii="Arial" w:hAnsi="Arial" w:cs="Arial"/>
              </w:rPr>
            </w:pPr>
            <w:r w:rsidRPr="00A117B3">
              <w:rPr>
                <w:rFonts w:ascii="Arial" w:hAnsi="Arial" w:cs="Arial"/>
              </w:rPr>
              <w:t>Sum of all transaction volumes in USD</w:t>
            </w:r>
          </w:p>
        </w:tc>
      </w:tr>
      <w:tr w:rsidR="00A117B3" w:rsidRPr="00A117B3" w14:paraId="13F9802C" w14:textId="77777777" w:rsidTr="00A117B3">
        <w:trPr>
          <w:tblCellSpacing w:w="15" w:type="dxa"/>
        </w:trPr>
        <w:tc>
          <w:tcPr>
            <w:tcW w:w="0" w:type="auto"/>
            <w:vAlign w:val="center"/>
            <w:hideMark/>
          </w:tcPr>
          <w:p w14:paraId="5BF9D560" w14:textId="77777777" w:rsidR="00A117B3" w:rsidRPr="00A117B3" w:rsidRDefault="00A117B3" w:rsidP="00A117B3">
            <w:pPr>
              <w:rPr>
                <w:rFonts w:ascii="Arial" w:hAnsi="Arial" w:cs="Arial"/>
              </w:rPr>
            </w:pPr>
            <w:proofErr w:type="spellStart"/>
            <w:r w:rsidRPr="00A117B3">
              <w:rPr>
                <w:rFonts w:ascii="Arial" w:hAnsi="Arial" w:cs="Arial"/>
              </w:rPr>
              <w:t>deposit_to_borrow_ratio</w:t>
            </w:r>
            <w:proofErr w:type="spellEnd"/>
          </w:p>
        </w:tc>
        <w:tc>
          <w:tcPr>
            <w:tcW w:w="0" w:type="auto"/>
            <w:vAlign w:val="center"/>
            <w:hideMark/>
          </w:tcPr>
          <w:p w14:paraId="1A7BA1C3" w14:textId="77777777" w:rsidR="00A117B3" w:rsidRPr="00A117B3" w:rsidRDefault="00A117B3" w:rsidP="00A117B3">
            <w:pPr>
              <w:rPr>
                <w:rFonts w:ascii="Arial" w:hAnsi="Arial" w:cs="Arial"/>
              </w:rPr>
            </w:pPr>
            <w:r w:rsidRPr="00A117B3">
              <w:rPr>
                <w:rFonts w:ascii="Arial" w:hAnsi="Arial" w:cs="Arial"/>
              </w:rPr>
              <w:t>Ratio of deposits to borrows (proxy for overcollateralization)</w:t>
            </w:r>
          </w:p>
        </w:tc>
      </w:tr>
      <w:tr w:rsidR="00A117B3" w:rsidRPr="00A117B3" w14:paraId="1C022007" w14:textId="77777777" w:rsidTr="00A117B3">
        <w:trPr>
          <w:tblCellSpacing w:w="15" w:type="dxa"/>
        </w:trPr>
        <w:tc>
          <w:tcPr>
            <w:tcW w:w="0" w:type="auto"/>
            <w:vAlign w:val="center"/>
            <w:hideMark/>
          </w:tcPr>
          <w:p w14:paraId="65B6D2A7" w14:textId="77777777" w:rsidR="00A117B3" w:rsidRPr="00A117B3" w:rsidRDefault="00A117B3" w:rsidP="00A117B3">
            <w:pPr>
              <w:rPr>
                <w:rFonts w:ascii="Arial" w:hAnsi="Arial" w:cs="Arial"/>
              </w:rPr>
            </w:pPr>
            <w:proofErr w:type="spellStart"/>
            <w:r w:rsidRPr="00A117B3">
              <w:rPr>
                <w:rFonts w:ascii="Arial" w:hAnsi="Arial" w:cs="Arial"/>
              </w:rPr>
              <w:t>repay_ratio</w:t>
            </w:r>
            <w:proofErr w:type="spellEnd"/>
          </w:p>
        </w:tc>
        <w:tc>
          <w:tcPr>
            <w:tcW w:w="0" w:type="auto"/>
            <w:vAlign w:val="center"/>
            <w:hideMark/>
          </w:tcPr>
          <w:p w14:paraId="31BC3320" w14:textId="77777777" w:rsidR="00A117B3" w:rsidRPr="00A117B3" w:rsidRDefault="00A117B3" w:rsidP="00A117B3">
            <w:pPr>
              <w:rPr>
                <w:rFonts w:ascii="Arial" w:hAnsi="Arial" w:cs="Arial"/>
              </w:rPr>
            </w:pPr>
            <w:r w:rsidRPr="00A117B3">
              <w:rPr>
                <w:rFonts w:ascii="Arial" w:hAnsi="Arial" w:cs="Arial"/>
              </w:rPr>
              <w:t>Total amount repaid divided by total amount borrowed (capped at 1)</w:t>
            </w:r>
          </w:p>
        </w:tc>
      </w:tr>
      <w:tr w:rsidR="00A117B3" w:rsidRPr="00A117B3" w14:paraId="2B8E1044" w14:textId="77777777" w:rsidTr="00A117B3">
        <w:trPr>
          <w:tblCellSpacing w:w="15" w:type="dxa"/>
        </w:trPr>
        <w:tc>
          <w:tcPr>
            <w:tcW w:w="0" w:type="auto"/>
            <w:vAlign w:val="center"/>
            <w:hideMark/>
          </w:tcPr>
          <w:p w14:paraId="18937860" w14:textId="77777777" w:rsidR="00A117B3" w:rsidRPr="00A117B3" w:rsidRDefault="00A117B3" w:rsidP="00A117B3">
            <w:pPr>
              <w:rPr>
                <w:rFonts w:ascii="Arial" w:hAnsi="Arial" w:cs="Arial"/>
              </w:rPr>
            </w:pPr>
            <w:proofErr w:type="spellStart"/>
            <w:r w:rsidRPr="00A117B3">
              <w:rPr>
                <w:rFonts w:ascii="Arial" w:hAnsi="Arial" w:cs="Arial"/>
              </w:rPr>
              <w:t>liquidation_rate</w:t>
            </w:r>
            <w:proofErr w:type="spellEnd"/>
          </w:p>
        </w:tc>
        <w:tc>
          <w:tcPr>
            <w:tcW w:w="0" w:type="auto"/>
            <w:vAlign w:val="center"/>
            <w:hideMark/>
          </w:tcPr>
          <w:p w14:paraId="6C7DA774" w14:textId="77777777" w:rsidR="00A117B3" w:rsidRPr="00A117B3" w:rsidRDefault="00A117B3" w:rsidP="00A117B3">
            <w:pPr>
              <w:rPr>
                <w:rFonts w:ascii="Arial" w:hAnsi="Arial" w:cs="Arial"/>
              </w:rPr>
            </w:pPr>
            <w:r w:rsidRPr="00A117B3">
              <w:rPr>
                <w:rFonts w:ascii="Arial" w:hAnsi="Arial" w:cs="Arial"/>
              </w:rPr>
              <w:t>Number of liquidations divided by borrow events</w:t>
            </w:r>
          </w:p>
        </w:tc>
      </w:tr>
    </w:tbl>
    <w:p w14:paraId="0412D5C0" w14:textId="77777777" w:rsidR="00A117B3" w:rsidRPr="00A117B3" w:rsidRDefault="00A117B3" w:rsidP="00A117B3">
      <w:pPr>
        <w:rPr>
          <w:rFonts w:ascii="Arial" w:hAnsi="Arial" w:cs="Arial"/>
        </w:rPr>
      </w:pPr>
      <w:r w:rsidRPr="00A117B3">
        <w:rPr>
          <w:rFonts w:ascii="Arial" w:hAnsi="Arial" w:cs="Arial"/>
        </w:rPr>
        <w:t>Missing values (e.g., due to zero activity in certain categories) were imputed with neutral values such as zero.</w:t>
      </w:r>
    </w:p>
    <w:p w14:paraId="619EE071" w14:textId="77777777" w:rsidR="00A117B3" w:rsidRPr="00A117B3" w:rsidRDefault="00A117B3" w:rsidP="00A117B3">
      <w:pPr>
        <w:rPr>
          <w:rFonts w:ascii="Arial" w:hAnsi="Arial" w:cs="Arial"/>
          <w:b/>
          <w:bCs/>
        </w:rPr>
      </w:pPr>
      <w:r w:rsidRPr="00A117B3">
        <w:rPr>
          <w:rFonts w:ascii="Arial" w:hAnsi="Arial" w:cs="Arial"/>
          <w:b/>
          <w:bCs/>
        </w:rPr>
        <w:t>Scoring Approach</w:t>
      </w:r>
    </w:p>
    <w:p w14:paraId="27154A03" w14:textId="77777777" w:rsidR="00A117B3" w:rsidRPr="00A117B3" w:rsidRDefault="00A117B3" w:rsidP="00A117B3">
      <w:pPr>
        <w:rPr>
          <w:rFonts w:ascii="Arial" w:hAnsi="Arial" w:cs="Arial"/>
        </w:rPr>
      </w:pPr>
      <w:r w:rsidRPr="00A117B3">
        <w:rPr>
          <w:rFonts w:ascii="Arial" w:hAnsi="Arial" w:cs="Arial"/>
        </w:rPr>
        <w:t xml:space="preserve">All features were normalized using </w:t>
      </w:r>
      <w:proofErr w:type="spellStart"/>
      <w:r w:rsidRPr="00A117B3">
        <w:rPr>
          <w:rFonts w:ascii="Arial" w:hAnsi="Arial" w:cs="Arial"/>
        </w:rPr>
        <w:t>MinMaxScaler</w:t>
      </w:r>
      <w:proofErr w:type="spellEnd"/>
      <w:r w:rsidRPr="00A117B3">
        <w:rPr>
          <w:rFonts w:ascii="Arial" w:hAnsi="Arial" w:cs="Arial"/>
        </w:rPr>
        <w:t xml:space="preserve"> to bring them into a common 0–1 range. Each feature was assigned a specific weight reflecting its contribution to trustworthiness: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871"/>
      </w:tblGrid>
      <w:tr w:rsidR="00A117B3" w:rsidRPr="00A117B3" w14:paraId="3737A1C0" w14:textId="77777777" w:rsidTr="00A117B3">
        <w:trPr>
          <w:tblHeader/>
          <w:tblCellSpacing w:w="15" w:type="dxa"/>
        </w:trPr>
        <w:tc>
          <w:tcPr>
            <w:tcW w:w="0" w:type="auto"/>
            <w:vAlign w:val="center"/>
            <w:hideMark/>
          </w:tcPr>
          <w:p w14:paraId="76C50B56" w14:textId="77777777" w:rsidR="00A117B3" w:rsidRPr="00A117B3" w:rsidRDefault="00A117B3" w:rsidP="00A117B3">
            <w:pPr>
              <w:rPr>
                <w:rFonts w:ascii="Arial" w:hAnsi="Arial" w:cs="Arial"/>
                <w:b/>
                <w:bCs/>
              </w:rPr>
            </w:pPr>
            <w:r w:rsidRPr="00A117B3">
              <w:rPr>
                <w:rFonts w:ascii="Arial" w:hAnsi="Arial" w:cs="Arial"/>
                <w:b/>
                <w:bCs/>
              </w:rPr>
              <w:t>Feature</w:t>
            </w:r>
          </w:p>
        </w:tc>
        <w:tc>
          <w:tcPr>
            <w:tcW w:w="0" w:type="auto"/>
            <w:vAlign w:val="center"/>
            <w:hideMark/>
          </w:tcPr>
          <w:p w14:paraId="0050CF91" w14:textId="77777777" w:rsidR="00A117B3" w:rsidRPr="00A117B3" w:rsidRDefault="00A117B3" w:rsidP="00A117B3">
            <w:pPr>
              <w:rPr>
                <w:rFonts w:ascii="Arial" w:hAnsi="Arial" w:cs="Arial"/>
                <w:b/>
                <w:bCs/>
              </w:rPr>
            </w:pPr>
            <w:r w:rsidRPr="00A117B3">
              <w:rPr>
                <w:rFonts w:ascii="Arial" w:hAnsi="Arial" w:cs="Arial"/>
                <w:b/>
                <w:bCs/>
              </w:rPr>
              <w:t>Weight</w:t>
            </w:r>
          </w:p>
        </w:tc>
      </w:tr>
      <w:tr w:rsidR="00A117B3" w:rsidRPr="00A117B3" w14:paraId="23D9423B" w14:textId="77777777" w:rsidTr="00A117B3">
        <w:trPr>
          <w:tblCellSpacing w:w="15" w:type="dxa"/>
        </w:trPr>
        <w:tc>
          <w:tcPr>
            <w:tcW w:w="0" w:type="auto"/>
            <w:vAlign w:val="center"/>
            <w:hideMark/>
          </w:tcPr>
          <w:p w14:paraId="6C4525CE" w14:textId="77777777" w:rsidR="00A117B3" w:rsidRPr="00A117B3" w:rsidRDefault="00A117B3" w:rsidP="00A117B3">
            <w:pPr>
              <w:rPr>
                <w:rFonts w:ascii="Arial" w:hAnsi="Arial" w:cs="Arial"/>
              </w:rPr>
            </w:pPr>
            <w:proofErr w:type="spellStart"/>
            <w:r w:rsidRPr="00A117B3">
              <w:rPr>
                <w:rFonts w:ascii="Arial" w:hAnsi="Arial" w:cs="Arial"/>
              </w:rPr>
              <w:t>net_deposit_usd</w:t>
            </w:r>
            <w:proofErr w:type="spellEnd"/>
          </w:p>
        </w:tc>
        <w:tc>
          <w:tcPr>
            <w:tcW w:w="0" w:type="auto"/>
            <w:vAlign w:val="center"/>
            <w:hideMark/>
          </w:tcPr>
          <w:p w14:paraId="33C83D02" w14:textId="77777777" w:rsidR="00A117B3" w:rsidRPr="00A117B3" w:rsidRDefault="00A117B3" w:rsidP="00A117B3">
            <w:pPr>
              <w:rPr>
                <w:rFonts w:ascii="Arial" w:hAnsi="Arial" w:cs="Arial"/>
              </w:rPr>
            </w:pPr>
            <w:r w:rsidRPr="00A117B3">
              <w:rPr>
                <w:rFonts w:ascii="Arial" w:hAnsi="Arial" w:cs="Arial"/>
              </w:rPr>
              <w:t>0.20</w:t>
            </w:r>
          </w:p>
        </w:tc>
      </w:tr>
      <w:tr w:rsidR="00A117B3" w:rsidRPr="00A117B3" w14:paraId="65084D56" w14:textId="77777777" w:rsidTr="00A117B3">
        <w:trPr>
          <w:tblCellSpacing w:w="15" w:type="dxa"/>
        </w:trPr>
        <w:tc>
          <w:tcPr>
            <w:tcW w:w="0" w:type="auto"/>
            <w:vAlign w:val="center"/>
            <w:hideMark/>
          </w:tcPr>
          <w:p w14:paraId="60CE965E" w14:textId="77777777" w:rsidR="00A117B3" w:rsidRPr="00A117B3" w:rsidRDefault="00A117B3" w:rsidP="00A117B3">
            <w:pPr>
              <w:rPr>
                <w:rFonts w:ascii="Arial" w:hAnsi="Arial" w:cs="Arial"/>
              </w:rPr>
            </w:pPr>
            <w:proofErr w:type="spellStart"/>
            <w:r w:rsidRPr="00A117B3">
              <w:rPr>
                <w:rFonts w:ascii="Arial" w:hAnsi="Arial" w:cs="Arial"/>
              </w:rPr>
              <w:t>net_borrow_usd</w:t>
            </w:r>
            <w:proofErr w:type="spellEnd"/>
          </w:p>
        </w:tc>
        <w:tc>
          <w:tcPr>
            <w:tcW w:w="0" w:type="auto"/>
            <w:vAlign w:val="center"/>
            <w:hideMark/>
          </w:tcPr>
          <w:p w14:paraId="706B722E" w14:textId="77777777" w:rsidR="00A117B3" w:rsidRPr="00A117B3" w:rsidRDefault="00A117B3" w:rsidP="00A117B3">
            <w:pPr>
              <w:rPr>
                <w:rFonts w:ascii="Arial" w:hAnsi="Arial" w:cs="Arial"/>
              </w:rPr>
            </w:pPr>
            <w:r w:rsidRPr="00A117B3">
              <w:rPr>
                <w:rFonts w:ascii="Arial" w:hAnsi="Arial" w:cs="Arial"/>
              </w:rPr>
              <w:t>0.10</w:t>
            </w:r>
          </w:p>
        </w:tc>
      </w:tr>
      <w:tr w:rsidR="00A117B3" w:rsidRPr="00A117B3" w14:paraId="6725D5B1" w14:textId="77777777" w:rsidTr="00A117B3">
        <w:trPr>
          <w:tblCellSpacing w:w="15" w:type="dxa"/>
        </w:trPr>
        <w:tc>
          <w:tcPr>
            <w:tcW w:w="0" w:type="auto"/>
            <w:vAlign w:val="center"/>
            <w:hideMark/>
          </w:tcPr>
          <w:p w14:paraId="0A8BDB8D" w14:textId="77777777" w:rsidR="00A117B3" w:rsidRPr="00A117B3" w:rsidRDefault="00A117B3" w:rsidP="00A117B3">
            <w:pPr>
              <w:rPr>
                <w:rFonts w:ascii="Arial" w:hAnsi="Arial" w:cs="Arial"/>
              </w:rPr>
            </w:pPr>
            <w:proofErr w:type="spellStart"/>
            <w:r w:rsidRPr="00A117B3">
              <w:rPr>
                <w:rFonts w:ascii="Arial" w:hAnsi="Arial" w:cs="Arial"/>
              </w:rPr>
              <w:t>active_days</w:t>
            </w:r>
            <w:proofErr w:type="spellEnd"/>
          </w:p>
        </w:tc>
        <w:tc>
          <w:tcPr>
            <w:tcW w:w="0" w:type="auto"/>
            <w:vAlign w:val="center"/>
            <w:hideMark/>
          </w:tcPr>
          <w:p w14:paraId="327254A4" w14:textId="77777777" w:rsidR="00A117B3" w:rsidRPr="00A117B3" w:rsidRDefault="00A117B3" w:rsidP="00A117B3">
            <w:pPr>
              <w:rPr>
                <w:rFonts w:ascii="Arial" w:hAnsi="Arial" w:cs="Arial"/>
              </w:rPr>
            </w:pPr>
            <w:r w:rsidRPr="00A117B3">
              <w:rPr>
                <w:rFonts w:ascii="Arial" w:hAnsi="Arial" w:cs="Arial"/>
              </w:rPr>
              <w:t>0.15</w:t>
            </w:r>
          </w:p>
        </w:tc>
      </w:tr>
      <w:tr w:rsidR="00A117B3" w:rsidRPr="00A117B3" w14:paraId="396B9FAB" w14:textId="77777777" w:rsidTr="00A117B3">
        <w:trPr>
          <w:tblCellSpacing w:w="15" w:type="dxa"/>
        </w:trPr>
        <w:tc>
          <w:tcPr>
            <w:tcW w:w="0" w:type="auto"/>
            <w:vAlign w:val="center"/>
            <w:hideMark/>
          </w:tcPr>
          <w:p w14:paraId="3183D765" w14:textId="77777777" w:rsidR="00A117B3" w:rsidRPr="00A117B3" w:rsidRDefault="00A117B3" w:rsidP="00A117B3">
            <w:pPr>
              <w:rPr>
                <w:rFonts w:ascii="Arial" w:hAnsi="Arial" w:cs="Arial"/>
              </w:rPr>
            </w:pPr>
            <w:proofErr w:type="spellStart"/>
            <w:r w:rsidRPr="00A117B3">
              <w:rPr>
                <w:rFonts w:ascii="Arial" w:hAnsi="Arial" w:cs="Arial"/>
              </w:rPr>
              <w:t>total_volume_usd</w:t>
            </w:r>
            <w:proofErr w:type="spellEnd"/>
          </w:p>
        </w:tc>
        <w:tc>
          <w:tcPr>
            <w:tcW w:w="0" w:type="auto"/>
            <w:vAlign w:val="center"/>
            <w:hideMark/>
          </w:tcPr>
          <w:p w14:paraId="29EB0D58" w14:textId="77777777" w:rsidR="00A117B3" w:rsidRPr="00A117B3" w:rsidRDefault="00A117B3" w:rsidP="00A117B3">
            <w:pPr>
              <w:rPr>
                <w:rFonts w:ascii="Arial" w:hAnsi="Arial" w:cs="Arial"/>
              </w:rPr>
            </w:pPr>
            <w:r w:rsidRPr="00A117B3">
              <w:rPr>
                <w:rFonts w:ascii="Arial" w:hAnsi="Arial" w:cs="Arial"/>
              </w:rPr>
              <w:t>0.15</w:t>
            </w:r>
          </w:p>
        </w:tc>
      </w:tr>
      <w:tr w:rsidR="00A117B3" w:rsidRPr="00A117B3" w14:paraId="5F47D28B" w14:textId="77777777" w:rsidTr="00A117B3">
        <w:trPr>
          <w:tblCellSpacing w:w="15" w:type="dxa"/>
        </w:trPr>
        <w:tc>
          <w:tcPr>
            <w:tcW w:w="0" w:type="auto"/>
            <w:vAlign w:val="center"/>
            <w:hideMark/>
          </w:tcPr>
          <w:p w14:paraId="70D92D86" w14:textId="77777777" w:rsidR="00A117B3" w:rsidRPr="00A117B3" w:rsidRDefault="00A117B3" w:rsidP="00A117B3">
            <w:pPr>
              <w:rPr>
                <w:rFonts w:ascii="Arial" w:hAnsi="Arial" w:cs="Arial"/>
              </w:rPr>
            </w:pPr>
            <w:proofErr w:type="spellStart"/>
            <w:r w:rsidRPr="00A117B3">
              <w:rPr>
                <w:rFonts w:ascii="Arial" w:hAnsi="Arial" w:cs="Arial"/>
              </w:rPr>
              <w:t>deposit_to_borrow_ratio</w:t>
            </w:r>
            <w:proofErr w:type="spellEnd"/>
          </w:p>
        </w:tc>
        <w:tc>
          <w:tcPr>
            <w:tcW w:w="0" w:type="auto"/>
            <w:vAlign w:val="center"/>
            <w:hideMark/>
          </w:tcPr>
          <w:p w14:paraId="56B455AE" w14:textId="77777777" w:rsidR="00A117B3" w:rsidRPr="00A117B3" w:rsidRDefault="00A117B3" w:rsidP="00A117B3">
            <w:pPr>
              <w:rPr>
                <w:rFonts w:ascii="Arial" w:hAnsi="Arial" w:cs="Arial"/>
              </w:rPr>
            </w:pPr>
            <w:r w:rsidRPr="00A117B3">
              <w:rPr>
                <w:rFonts w:ascii="Arial" w:hAnsi="Arial" w:cs="Arial"/>
              </w:rPr>
              <w:t>0.15</w:t>
            </w:r>
          </w:p>
        </w:tc>
      </w:tr>
      <w:tr w:rsidR="00A117B3" w:rsidRPr="00A117B3" w14:paraId="02283606" w14:textId="77777777" w:rsidTr="00A117B3">
        <w:trPr>
          <w:tblCellSpacing w:w="15" w:type="dxa"/>
        </w:trPr>
        <w:tc>
          <w:tcPr>
            <w:tcW w:w="0" w:type="auto"/>
            <w:vAlign w:val="center"/>
            <w:hideMark/>
          </w:tcPr>
          <w:p w14:paraId="616512A2" w14:textId="77777777" w:rsidR="00A117B3" w:rsidRPr="00A117B3" w:rsidRDefault="00A117B3" w:rsidP="00A117B3">
            <w:pPr>
              <w:rPr>
                <w:rFonts w:ascii="Arial" w:hAnsi="Arial" w:cs="Arial"/>
              </w:rPr>
            </w:pPr>
            <w:proofErr w:type="spellStart"/>
            <w:r w:rsidRPr="00A117B3">
              <w:rPr>
                <w:rFonts w:ascii="Arial" w:hAnsi="Arial" w:cs="Arial"/>
              </w:rPr>
              <w:t>repay_ratio</w:t>
            </w:r>
            <w:proofErr w:type="spellEnd"/>
          </w:p>
        </w:tc>
        <w:tc>
          <w:tcPr>
            <w:tcW w:w="0" w:type="auto"/>
            <w:vAlign w:val="center"/>
            <w:hideMark/>
          </w:tcPr>
          <w:p w14:paraId="7D88BF84" w14:textId="77777777" w:rsidR="00A117B3" w:rsidRPr="00A117B3" w:rsidRDefault="00A117B3" w:rsidP="00A117B3">
            <w:pPr>
              <w:rPr>
                <w:rFonts w:ascii="Arial" w:hAnsi="Arial" w:cs="Arial"/>
              </w:rPr>
            </w:pPr>
            <w:r w:rsidRPr="00A117B3">
              <w:rPr>
                <w:rFonts w:ascii="Arial" w:hAnsi="Arial" w:cs="Arial"/>
              </w:rPr>
              <w:t>0.15</w:t>
            </w:r>
          </w:p>
        </w:tc>
      </w:tr>
      <w:tr w:rsidR="00A117B3" w:rsidRPr="00A117B3" w14:paraId="12DED7CA" w14:textId="77777777" w:rsidTr="00A117B3">
        <w:trPr>
          <w:tblCellSpacing w:w="15" w:type="dxa"/>
        </w:trPr>
        <w:tc>
          <w:tcPr>
            <w:tcW w:w="0" w:type="auto"/>
            <w:vAlign w:val="center"/>
            <w:hideMark/>
          </w:tcPr>
          <w:p w14:paraId="5BAD3C73" w14:textId="77777777" w:rsidR="00A117B3" w:rsidRPr="00A117B3" w:rsidRDefault="00A117B3" w:rsidP="00A117B3">
            <w:pPr>
              <w:rPr>
                <w:rFonts w:ascii="Arial" w:hAnsi="Arial" w:cs="Arial"/>
              </w:rPr>
            </w:pPr>
            <w:proofErr w:type="spellStart"/>
            <w:r w:rsidRPr="00A117B3">
              <w:rPr>
                <w:rFonts w:ascii="Arial" w:hAnsi="Arial" w:cs="Arial"/>
              </w:rPr>
              <w:t>liquidation_rate</w:t>
            </w:r>
            <w:proofErr w:type="spellEnd"/>
          </w:p>
        </w:tc>
        <w:tc>
          <w:tcPr>
            <w:tcW w:w="0" w:type="auto"/>
            <w:vAlign w:val="center"/>
            <w:hideMark/>
          </w:tcPr>
          <w:p w14:paraId="1FF4F16E" w14:textId="77777777" w:rsidR="00A117B3" w:rsidRPr="00A117B3" w:rsidRDefault="00A117B3" w:rsidP="00A117B3">
            <w:pPr>
              <w:rPr>
                <w:rFonts w:ascii="Arial" w:hAnsi="Arial" w:cs="Arial"/>
              </w:rPr>
            </w:pPr>
            <w:r w:rsidRPr="00A117B3">
              <w:rPr>
                <w:rFonts w:ascii="Arial" w:hAnsi="Arial" w:cs="Arial"/>
              </w:rPr>
              <w:t>-0.10</w:t>
            </w:r>
          </w:p>
        </w:tc>
      </w:tr>
    </w:tbl>
    <w:p w14:paraId="0A091729" w14:textId="77777777" w:rsidR="00A117B3" w:rsidRPr="00A117B3" w:rsidRDefault="00A117B3" w:rsidP="00A117B3">
      <w:pPr>
        <w:rPr>
          <w:rFonts w:ascii="Arial" w:hAnsi="Arial" w:cs="Arial"/>
        </w:rPr>
      </w:pPr>
      <w:r w:rsidRPr="00A117B3">
        <w:rPr>
          <w:rFonts w:ascii="Arial" w:hAnsi="Arial" w:cs="Arial"/>
        </w:rPr>
        <w:t>The final credit score was calculated using a weighted sum of the scaled features:</w:t>
      </w:r>
    </w:p>
    <w:p w14:paraId="19CA2AE8" w14:textId="77777777" w:rsidR="00A117B3" w:rsidRPr="00A117B3" w:rsidRDefault="00A117B3" w:rsidP="00A117B3">
      <w:pPr>
        <w:rPr>
          <w:rFonts w:ascii="Arial" w:hAnsi="Arial" w:cs="Arial"/>
        </w:rPr>
      </w:pPr>
      <w:proofErr w:type="spellStart"/>
      <w:r w:rsidRPr="00A117B3">
        <w:rPr>
          <w:rFonts w:ascii="Arial" w:hAnsi="Arial" w:cs="Arial"/>
        </w:rPr>
        <w:t>ini</w:t>
      </w:r>
      <w:proofErr w:type="spellEnd"/>
    </w:p>
    <w:p w14:paraId="7BDCC3CB" w14:textId="77777777" w:rsidR="00A117B3" w:rsidRPr="00A117B3" w:rsidRDefault="00A117B3" w:rsidP="00A117B3">
      <w:pPr>
        <w:rPr>
          <w:rFonts w:ascii="Arial" w:hAnsi="Arial" w:cs="Arial"/>
        </w:rPr>
      </w:pPr>
      <w:r w:rsidRPr="00A117B3">
        <w:rPr>
          <w:rFonts w:ascii="Arial" w:hAnsi="Arial" w:cs="Arial"/>
        </w:rPr>
        <w:t>Copy code</w:t>
      </w:r>
    </w:p>
    <w:p w14:paraId="5F5047D1" w14:textId="77777777" w:rsidR="00A117B3" w:rsidRPr="00A117B3" w:rsidRDefault="00A117B3" w:rsidP="00A117B3">
      <w:pPr>
        <w:rPr>
          <w:rFonts w:ascii="Arial" w:hAnsi="Arial" w:cs="Arial"/>
        </w:rPr>
      </w:pPr>
      <w:r w:rsidRPr="00A117B3">
        <w:rPr>
          <w:rFonts w:ascii="Arial" w:hAnsi="Arial" w:cs="Arial"/>
        </w:rPr>
        <w:t>score = (</w:t>
      </w:r>
      <w:proofErr w:type="spellStart"/>
      <w:r w:rsidRPr="00A117B3">
        <w:rPr>
          <w:rFonts w:ascii="Arial" w:hAnsi="Arial" w:cs="Arial"/>
        </w:rPr>
        <w:t>scaled_features</w:t>
      </w:r>
      <w:proofErr w:type="spellEnd"/>
      <w:r w:rsidRPr="00A117B3">
        <w:rPr>
          <w:rFonts w:ascii="Arial" w:hAnsi="Arial" w:cs="Arial"/>
        </w:rPr>
        <w:t xml:space="preserve"> * weights).sum(axis=1) * 100</w:t>
      </w:r>
    </w:p>
    <w:p w14:paraId="25E00D8B" w14:textId="77777777" w:rsidR="00A117B3" w:rsidRPr="00A117B3" w:rsidRDefault="00A117B3" w:rsidP="00A117B3">
      <w:pPr>
        <w:rPr>
          <w:rFonts w:ascii="Arial" w:hAnsi="Arial" w:cs="Arial"/>
        </w:rPr>
      </w:pPr>
      <w:r w:rsidRPr="00A117B3">
        <w:rPr>
          <w:rFonts w:ascii="Arial" w:hAnsi="Arial" w:cs="Arial"/>
        </w:rPr>
        <w:t>This ensures the resulting score lies between 0 and 100.</w:t>
      </w:r>
    </w:p>
    <w:p w14:paraId="1F746790" w14:textId="77777777" w:rsidR="00A117B3" w:rsidRPr="00A117B3" w:rsidRDefault="00A117B3" w:rsidP="00A117B3">
      <w:pPr>
        <w:rPr>
          <w:rFonts w:ascii="Arial" w:hAnsi="Arial" w:cs="Arial"/>
          <w:b/>
          <w:bCs/>
        </w:rPr>
      </w:pPr>
      <w:r w:rsidRPr="00A117B3">
        <w:rPr>
          <w:rFonts w:ascii="Arial" w:hAnsi="Arial" w:cs="Arial"/>
          <w:b/>
          <w:bCs/>
        </w:rPr>
        <w:lastRenderedPageBreak/>
        <w:t>Labeling Logic</w:t>
      </w:r>
    </w:p>
    <w:p w14:paraId="4FB5BF87" w14:textId="77777777" w:rsidR="00A117B3" w:rsidRPr="00A117B3" w:rsidRDefault="00A117B3" w:rsidP="00A117B3">
      <w:pPr>
        <w:rPr>
          <w:rFonts w:ascii="Arial" w:hAnsi="Arial" w:cs="Arial"/>
        </w:rPr>
      </w:pPr>
      <w:r w:rsidRPr="00A117B3">
        <w:rPr>
          <w:rFonts w:ascii="Arial" w:hAnsi="Arial" w:cs="Arial"/>
        </w:rPr>
        <w:t>To support downstream categorization, scores were labeled as follows:</w:t>
      </w:r>
    </w:p>
    <w:p w14:paraId="0A816B13" w14:textId="77777777" w:rsidR="00A117B3" w:rsidRPr="00A117B3" w:rsidRDefault="00A117B3" w:rsidP="00A117B3">
      <w:pPr>
        <w:numPr>
          <w:ilvl w:val="0"/>
          <w:numId w:val="3"/>
        </w:numPr>
        <w:rPr>
          <w:rFonts w:ascii="Arial" w:hAnsi="Arial" w:cs="Arial"/>
        </w:rPr>
      </w:pPr>
      <w:r w:rsidRPr="00A117B3">
        <w:rPr>
          <w:rFonts w:ascii="Arial" w:hAnsi="Arial" w:cs="Arial"/>
          <w:b/>
          <w:bCs/>
        </w:rPr>
        <w:t>Highly Trustable (Label 2):</w:t>
      </w:r>
      <w:r w:rsidRPr="00A117B3">
        <w:rPr>
          <w:rFonts w:ascii="Arial" w:hAnsi="Arial" w:cs="Arial"/>
        </w:rPr>
        <w:t xml:space="preserve"> Score ≥ 80</w:t>
      </w:r>
    </w:p>
    <w:p w14:paraId="21F560E4" w14:textId="77777777" w:rsidR="00A117B3" w:rsidRPr="00A117B3" w:rsidRDefault="00A117B3" w:rsidP="00A117B3">
      <w:pPr>
        <w:numPr>
          <w:ilvl w:val="0"/>
          <w:numId w:val="3"/>
        </w:numPr>
        <w:rPr>
          <w:rFonts w:ascii="Arial" w:hAnsi="Arial" w:cs="Arial"/>
        </w:rPr>
      </w:pPr>
      <w:r w:rsidRPr="00A117B3">
        <w:rPr>
          <w:rFonts w:ascii="Arial" w:hAnsi="Arial" w:cs="Arial"/>
          <w:b/>
          <w:bCs/>
        </w:rPr>
        <w:t>Medium Trust (Label 1):</w:t>
      </w:r>
      <w:r w:rsidRPr="00A117B3">
        <w:rPr>
          <w:rFonts w:ascii="Arial" w:hAnsi="Arial" w:cs="Arial"/>
        </w:rPr>
        <w:t xml:space="preserve"> 50 ≤ Score &lt; 80</w:t>
      </w:r>
    </w:p>
    <w:p w14:paraId="5D92CC04" w14:textId="77777777" w:rsidR="00A117B3" w:rsidRPr="00A117B3" w:rsidRDefault="00A117B3" w:rsidP="00A117B3">
      <w:pPr>
        <w:numPr>
          <w:ilvl w:val="0"/>
          <w:numId w:val="3"/>
        </w:numPr>
        <w:rPr>
          <w:rFonts w:ascii="Arial" w:hAnsi="Arial" w:cs="Arial"/>
        </w:rPr>
      </w:pPr>
      <w:r w:rsidRPr="00A117B3">
        <w:rPr>
          <w:rFonts w:ascii="Arial" w:hAnsi="Arial" w:cs="Arial"/>
          <w:b/>
          <w:bCs/>
        </w:rPr>
        <w:t>High Risk (Label 0):</w:t>
      </w:r>
      <w:r w:rsidRPr="00A117B3">
        <w:rPr>
          <w:rFonts w:ascii="Arial" w:hAnsi="Arial" w:cs="Arial"/>
        </w:rPr>
        <w:t xml:space="preserve"> Score &lt; 50</w:t>
      </w:r>
    </w:p>
    <w:p w14:paraId="63A99057" w14:textId="77777777" w:rsidR="00A117B3" w:rsidRPr="00A117B3" w:rsidRDefault="00A117B3" w:rsidP="00A117B3">
      <w:pPr>
        <w:rPr>
          <w:rFonts w:ascii="Arial" w:hAnsi="Arial" w:cs="Arial"/>
          <w:b/>
          <w:bCs/>
        </w:rPr>
      </w:pPr>
      <w:r w:rsidRPr="00A117B3">
        <w:rPr>
          <w:rFonts w:ascii="Arial" w:hAnsi="Arial" w:cs="Arial"/>
          <w:b/>
          <w:bCs/>
        </w:rPr>
        <w:t>Output Files</w:t>
      </w:r>
    </w:p>
    <w:p w14:paraId="7B13401B" w14:textId="77777777" w:rsidR="00A117B3" w:rsidRPr="00A117B3" w:rsidRDefault="00A117B3" w:rsidP="00A117B3">
      <w:pPr>
        <w:rPr>
          <w:rFonts w:ascii="Arial" w:hAnsi="Arial" w:cs="Arial"/>
        </w:rPr>
      </w:pPr>
      <w:r w:rsidRPr="00A117B3">
        <w:rPr>
          <w:rFonts w:ascii="Arial" w:hAnsi="Arial" w:cs="Arial"/>
        </w:rPr>
        <w:t>The following CSV files were generated:</w:t>
      </w:r>
    </w:p>
    <w:p w14:paraId="2C8F383B" w14:textId="77777777" w:rsidR="00A117B3" w:rsidRPr="00A117B3" w:rsidRDefault="00A117B3" w:rsidP="00A117B3">
      <w:pPr>
        <w:numPr>
          <w:ilvl w:val="0"/>
          <w:numId w:val="4"/>
        </w:numPr>
        <w:rPr>
          <w:rFonts w:ascii="Arial" w:hAnsi="Arial" w:cs="Arial"/>
        </w:rPr>
      </w:pPr>
      <w:r w:rsidRPr="00A117B3">
        <w:rPr>
          <w:rFonts w:ascii="Arial" w:hAnsi="Arial" w:cs="Arial"/>
        </w:rPr>
        <w:t>top_1000_wallets.csv: Top 1,000 wallets by score (descending)</w:t>
      </w:r>
    </w:p>
    <w:p w14:paraId="0D6D02FB" w14:textId="77777777" w:rsidR="00A117B3" w:rsidRPr="00A117B3" w:rsidRDefault="00A117B3" w:rsidP="00A117B3">
      <w:pPr>
        <w:numPr>
          <w:ilvl w:val="0"/>
          <w:numId w:val="4"/>
        </w:numPr>
        <w:rPr>
          <w:rFonts w:ascii="Arial" w:hAnsi="Arial" w:cs="Arial"/>
        </w:rPr>
      </w:pPr>
      <w:r w:rsidRPr="00A117B3">
        <w:rPr>
          <w:rFonts w:ascii="Arial" w:hAnsi="Arial" w:cs="Arial"/>
        </w:rPr>
        <w:t>bottom_1000_wallets.csv: Lowest 1,000 wallets by score (ascending)</w:t>
      </w:r>
    </w:p>
    <w:p w14:paraId="2A181EF7" w14:textId="77777777" w:rsidR="00A117B3" w:rsidRPr="00A117B3" w:rsidRDefault="00A117B3" w:rsidP="00A117B3">
      <w:pPr>
        <w:rPr>
          <w:rFonts w:ascii="Arial" w:hAnsi="Arial" w:cs="Arial"/>
        </w:rPr>
      </w:pPr>
      <w:r w:rsidRPr="00A117B3">
        <w:rPr>
          <w:rFonts w:ascii="Arial" w:hAnsi="Arial" w:cs="Arial"/>
        </w:rPr>
        <w:t>These files can be used for further wallet behavior analysis and validation.</w:t>
      </w:r>
    </w:p>
    <w:p w14:paraId="7A68C404" w14:textId="77777777" w:rsidR="00A117B3" w:rsidRPr="00A117B3" w:rsidRDefault="00A117B3" w:rsidP="00A117B3">
      <w:pPr>
        <w:rPr>
          <w:rFonts w:ascii="Arial" w:hAnsi="Arial" w:cs="Arial"/>
          <w:b/>
          <w:bCs/>
        </w:rPr>
      </w:pPr>
      <w:r w:rsidRPr="00A117B3">
        <w:rPr>
          <w:rFonts w:ascii="Arial" w:hAnsi="Arial" w:cs="Arial"/>
          <w:b/>
          <w:bCs/>
        </w:rPr>
        <w:t>Justification</w:t>
      </w:r>
    </w:p>
    <w:p w14:paraId="2034C8F0" w14:textId="77777777" w:rsidR="00A117B3" w:rsidRPr="00A117B3" w:rsidRDefault="00A117B3" w:rsidP="00A117B3">
      <w:pPr>
        <w:rPr>
          <w:rFonts w:ascii="Arial" w:hAnsi="Arial" w:cs="Arial"/>
        </w:rPr>
      </w:pPr>
      <w:r w:rsidRPr="00A117B3">
        <w:rPr>
          <w:rFonts w:ascii="Arial" w:hAnsi="Arial" w:cs="Arial"/>
        </w:rPr>
        <w:t>This approach is:</w:t>
      </w:r>
    </w:p>
    <w:p w14:paraId="240D5FDA" w14:textId="77777777" w:rsidR="00A117B3" w:rsidRPr="00A117B3" w:rsidRDefault="00A117B3" w:rsidP="00A117B3">
      <w:pPr>
        <w:numPr>
          <w:ilvl w:val="0"/>
          <w:numId w:val="5"/>
        </w:numPr>
        <w:rPr>
          <w:rFonts w:ascii="Arial" w:hAnsi="Arial" w:cs="Arial"/>
        </w:rPr>
      </w:pPr>
      <w:r w:rsidRPr="00A117B3">
        <w:rPr>
          <w:rFonts w:ascii="Arial" w:hAnsi="Arial" w:cs="Arial"/>
          <w:b/>
          <w:bCs/>
        </w:rPr>
        <w:t>Unsupervised and explainable:</w:t>
      </w:r>
      <w:r w:rsidRPr="00A117B3">
        <w:rPr>
          <w:rFonts w:ascii="Arial" w:hAnsi="Arial" w:cs="Arial"/>
        </w:rPr>
        <w:t xml:space="preserve"> All features are derived and weighted based on logical protocol usage assumptions.</w:t>
      </w:r>
    </w:p>
    <w:p w14:paraId="3022FEAB" w14:textId="77777777" w:rsidR="00A117B3" w:rsidRPr="00A117B3" w:rsidRDefault="00A117B3" w:rsidP="00A117B3">
      <w:pPr>
        <w:numPr>
          <w:ilvl w:val="0"/>
          <w:numId w:val="5"/>
        </w:numPr>
        <w:rPr>
          <w:rFonts w:ascii="Arial" w:hAnsi="Arial" w:cs="Arial"/>
        </w:rPr>
      </w:pPr>
      <w:r w:rsidRPr="00A117B3">
        <w:rPr>
          <w:rFonts w:ascii="Arial" w:hAnsi="Arial" w:cs="Arial"/>
          <w:b/>
          <w:bCs/>
        </w:rPr>
        <w:t>Domain-aligned:</w:t>
      </w:r>
      <w:r w:rsidRPr="00A117B3">
        <w:rPr>
          <w:rFonts w:ascii="Arial" w:hAnsi="Arial" w:cs="Arial"/>
        </w:rPr>
        <w:t xml:space="preserve"> Feature engineering directly maps to mechanisms in Compound V2 (e.g., repayments, collateral, liquidations).</w:t>
      </w:r>
    </w:p>
    <w:p w14:paraId="4990C31B" w14:textId="77777777" w:rsidR="00A117B3" w:rsidRPr="00A117B3" w:rsidRDefault="00A117B3" w:rsidP="00A117B3">
      <w:pPr>
        <w:numPr>
          <w:ilvl w:val="0"/>
          <w:numId w:val="5"/>
        </w:numPr>
        <w:rPr>
          <w:rFonts w:ascii="Arial" w:hAnsi="Arial" w:cs="Arial"/>
        </w:rPr>
      </w:pPr>
      <w:r w:rsidRPr="00A117B3">
        <w:rPr>
          <w:rFonts w:ascii="Arial" w:hAnsi="Arial" w:cs="Arial"/>
          <w:b/>
          <w:bCs/>
        </w:rPr>
        <w:t>Generalizable:</w:t>
      </w:r>
      <w:r w:rsidRPr="00A117B3">
        <w:rPr>
          <w:rFonts w:ascii="Arial" w:hAnsi="Arial" w:cs="Arial"/>
        </w:rPr>
        <w:t xml:space="preserve"> The methodology can be applied to other lending protocols with similar transaction types.</w:t>
      </w:r>
    </w:p>
    <w:p w14:paraId="6664A1A3" w14:textId="77777777" w:rsidR="0085085B" w:rsidRPr="00A117B3" w:rsidRDefault="0085085B">
      <w:pPr>
        <w:rPr>
          <w:rFonts w:ascii="Arial" w:hAnsi="Arial" w:cs="Arial"/>
        </w:rPr>
      </w:pPr>
    </w:p>
    <w:sectPr w:rsidR="0085085B" w:rsidRPr="00A1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14580"/>
    <w:multiLevelType w:val="multilevel"/>
    <w:tmpl w:val="E37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006AB"/>
    <w:multiLevelType w:val="multilevel"/>
    <w:tmpl w:val="003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0023D"/>
    <w:multiLevelType w:val="multilevel"/>
    <w:tmpl w:val="FD8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06EB6"/>
    <w:multiLevelType w:val="multilevel"/>
    <w:tmpl w:val="299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15ACB"/>
    <w:multiLevelType w:val="multilevel"/>
    <w:tmpl w:val="C5D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72704">
    <w:abstractNumId w:val="0"/>
  </w:num>
  <w:num w:numId="2" w16cid:durableId="1161041530">
    <w:abstractNumId w:val="2"/>
  </w:num>
  <w:num w:numId="3" w16cid:durableId="298657828">
    <w:abstractNumId w:val="3"/>
  </w:num>
  <w:num w:numId="4" w16cid:durableId="768819744">
    <w:abstractNumId w:val="1"/>
  </w:num>
  <w:num w:numId="5" w16cid:durableId="1867021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5B"/>
    <w:rsid w:val="005F66A4"/>
    <w:rsid w:val="0085085B"/>
    <w:rsid w:val="00A1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5303"/>
  <w15:chartTrackingRefBased/>
  <w15:docId w15:val="{65F44FE4-12C1-4797-9665-3FCCA1C0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85B"/>
    <w:rPr>
      <w:rFonts w:eastAsiaTheme="majorEastAsia" w:cstheme="majorBidi"/>
      <w:color w:val="272727" w:themeColor="text1" w:themeTint="D8"/>
    </w:rPr>
  </w:style>
  <w:style w:type="paragraph" w:styleId="Title">
    <w:name w:val="Title"/>
    <w:basedOn w:val="Normal"/>
    <w:next w:val="Normal"/>
    <w:link w:val="TitleChar"/>
    <w:uiPriority w:val="10"/>
    <w:qFormat/>
    <w:rsid w:val="00850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85B"/>
    <w:pPr>
      <w:spacing w:before="160"/>
      <w:jc w:val="center"/>
    </w:pPr>
    <w:rPr>
      <w:i/>
      <w:iCs/>
      <w:color w:val="404040" w:themeColor="text1" w:themeTint="BF"/>
    </w:rPr>
  </w:style>
  <w:style w:type="character" w:customStyle="1" w:styleId="QuoteChar">
    <w:name w:val="Quote Char"/>
    <w:basedOn w:val="DefaultParagraphFont"/>
    <w:link w:val="Quote"/>
    <w:uiPriority w:val="29"/>
    <w:rsid w:val="0085085B"/>
    <w:rPr>
      <w:i/>
      <w:iCs/>
      <w:color w:val="404040" w:themeColor="text1" w:themeTint="BF"/>
    </w:rPr>
  </w:style>
  <w:style w:type="paragraph" w:styleId="ListParagraph">
    <w:name w:val="List Paragraph"/>
    <w:basedOn w:val="Normal"/>
    <w:uiPriority w:val="34"/>
    <w:qFormat/>
    <w:rsid w:val="0085085B"/>
    <w:pPr>
      <w:ind w:left="720"/>
      <w:contextualSpacing/>
    </w:pPr>
  </w:style>
  <w:style w:type="character" w:styleId="IntenseEmphasis">
    <w:name w:val="Intense Emphasis"/>
    <w:basedOn w:val="DefaultParagraphFont"/>
    <w:uiPriority w:val="21"/>
    <w:qFormat/>
    <w:rsid w:val="0085085B"/>
    <w:rPr>
      <w:i/>
      <w:iCs/>
      <w:color w:val="0F4761" w:themeColor="accent1" w:themeShade="BF"/>
    </w:rPr>
  </w:style>
  <w:style w:type="paragraph" w:styleId="IntenseQuote">
    <w:name w:val="Intense Quote"/>
    <w:basedOn w:val="Normal"/>
    <w:next w:val="Normal"/>
    <w:link w:val="IntenseQuoteChar"/>
    <w:uiPriority w:val="30"/>
    <w:qFormat/>
    <w:rsid w:val="00850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85B"/>
    <w:rPr>
      <w:i/>
      <w:iCs/>
      <w:color w:val="0F4761" w:themeColor="accent1" w:themeShade="BF"/>
    </w:rPr>
  </w:style>
  <w:style w:type="character" w:styleId="IntenseReference">
    <w:name w:val="Intense Reference"/>
    <w:basedOn w:val="DefaultParagraphFont"/>
    <w:uiPriority w:val="32"/>
    <w:qFormat/>
    <w:rsid w:val="008508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759848">
      <w:bodyDiv w:val="1"/>
      <w:marLeft w:val="0"/>
      <w:marRight w:val="0"/>
      <w:marTop w:val="0"/>
      <w:marBottom w:val="0"/>
      <w:divBdr>
        <w:top w:val="none" w:sz="0" w:space="0" w:color="auto"/>
        <w:left w:val="none" w:sz="0" w:space="0" w:color="auto"/>
        <w:bottom w:val="none" w:sz="0" w:space="0" w:color="auto"/>
        <w:right w:val="none" w:sz="0" w:space="0" w:color="auto"/>
      </w:divBdr>
      <w:divsChild>
        <w:div w:id="26150726">
          <w:marLeft w:val="0"/>
          <w:marRight w:val="0"/>
          <w:marTop w:val="0"/>
          <w:marBottom w:val="0"/>
          <w:divBdr>
            <w:top w:val="none" w:sz="0" w:space="0" w:color="auto"/>
            <w:left w:val="none" w:sz="0" w:space="0" w:color="auto"/>
            <w:bottom w:val="none" w:sz="0" w:space="0" w:color="auto"/>
            <w:right w:val="none" w:sz="0" w:space="0" w:color="auto"/>
          </w:divBdr>
          <w:divsChild>
            <w:div w:id="1245452119">
              <w:marLeft w:val="0"/>
              <w:marRight w:val="0"/>
              <w:marTop w:val="0"/>
              <w:marBottom w:val="0"/>
              <w:divBdr>
                <w:top w:val="none" w:sz="0" w:space="0" w:color="auto"/>
                <w:left w:val="none" w:sz="0" w:space="0" w:color="auto"/>
                <w:bottom w:val="none" w:sz="0" w:space="0" w:color="auto"/>
                <w:right w:val="none" w:sz="0" w:space="0" w:color="auto"/>
              </w:divBdr>
            </w:div>
          </w:divsChild>
        </w:div>
        <w:div w:id="1789935149">
          <w:marLeft w:val="0"/>
          <w:marRight w:val="0"/>
          <w:marTop w:val="0"/>
          <w:marBottom w:val="0"/>
          <w:divBdr>
            <w:top w:val="none" w:sz="0" w:space="0" w:color="auto"/>
            <w:left w:val="none" w:sz="0" w:space="0" w:color="auto"/>
            <w:bottom w:val="none" w:sz="0" w:space="0" w:color="auto"/>
            <w:right w:val="none" w:sz="0" w:space="0" w:color="auto"/>
          </w:divBdr>
          <w:divsChild>
            <w:div w:id="1362245435">
              <w:marLeft w:val="0"/>
              <w:marRight w:val="0"/>
              <w:marTop w:val="0"/>
              <w:marBottom w:val="0"/>
              <w:divBdr>
                <w:top w:val="none" w:sz="0" w:space="0" w:color="auto"/>
                <w:left w:val="none" w:sz="0" w:space="0" w:color="auto"/>
                <w:bottom w:val="none" w:sz="0" w:space="0" w:color="auto"/>
                <w:right w:val="none" w:sz="0" w:space="0" w:color="auto"/>
              </w:divBdr>
            </w:div>
          </w:divsChild>
        </w:div>
        <w:div w:id="1928226165">
          <w:marLeft w:val="0"/>
          <w:marRight w:val="0"/>
          <w:marTop w:val="0"/>
          <w:marBottom w:val="0"/>
          <w:divBdr>
            <w:top w:val="none" w:sz="0" w:space="0" w:color="auto"/>
            <w:left w:val="none" w:sz="0" w:space="0" w:color="auto"/>
            <w:bottom w:val="none" w:sz="0" w:space="0" w:color="auto"/>
            <w:right w:val="none" w:sz="0" w:space="0" w:color="auto"/>
          </w:divBdr>
          <w:divsChild>
            <w:div w:id="1515338386">
              <w:marLeft w:val="0"/>
              <w:marRight w:val="0"/>
              <w:marTop w:val="0"/>
              <w:marBottom w:val="0"/>
              <w:divBdr>
                <w:top w:val="none" w:sz="0" w:space="0" w:color="auto"/>
                <w:left w:val="none" w:sz="0" w:space="0" w:color="auto"/>
                <w:bottom w:val="none" w:sz="0" w:space="0" w:color="auto"/>
                <w:right w:val="none" w:sz="0" w:space="0" w:color="auto"/>
              </w:divBdr>
            </w:div>
            <w:div w:id="424422568">
              <w:marLeft w:val="0"/>
              <w:marRight w:val="0"/>
              <w:marTop w:val="0"/>
              <w:marBottom w:val="0"/>
              <w:divBdr>
                <w:top w:val="none" w:sz="0" w:space="0" w:color="auto"/>
                <w:left w:val="none" w:sz="0" w:space="0" w:color="auto"/>
                <w:bottom w:val="none" w:sz="0" w:space="0" w:color="auto"/>
                <w:right w:val="none" w:sz="0" w:space="0" w:color="auto"/>
              </w:divBdr>
              <w:divsChild>
                <w:div w:id="482740652">
                  <w:marLeft w:val="0"/>
                  <w:marRight w:val="0"/>
                  <w:marTop w:val="0"/>
                  <w:marBottom w:val="0"/>
                  <w:divBdr>
                    <w:top w:val="none" w:sz="0" w:space="0" w:color="auto"/>
                    <w:left w:val="none" w:sz="0" w:space="0" w:color="auto"/>
                    <w:bottom w:val="none" w:sz="0" w:space="0" w:color="auto"/>
                    <w:right w:val="none" w:sz="0" w:space="0" w:color="auto"/>
                  </w:divBdr>
                  <w:divsChild>
                    <w:div w:id="1876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790">
      <w:bodyDiv w:val="1"/>
      <w:marLeft w:val="0"/>
      <w:marRight w:val="0"/>
      <w:marTop w:val="0"/>
      <w:marBottom w:val="0"/>
      <w:divBdr>
        <w:top w:val="none" w:sz="0" w:space="0" w:color="auto"/>
        <w:left w:val="none" w:sz="0" w:space="0" w:color="auto"/>
        <w:bottom w:val="none" w:sz="0" w:space="0" w:color="auto"/>
        <w:right w:val="none" w:sz="0" w:space="0" w:color="auto"/>
      </w:divBdr>
      <w:divsChild>
        <w:div w:id="2100175469">
          <w:marLeft w:val="0"/>
          <w:marRight w:val="0"/>
          <w:marTop w:val="0"/>
          <w:marBottom w:val="0"/>
          <w:divBdr>
            <w:top w:val="none" w:sz="0" w:space="0" w:color="auto"/>
            <w:left w:val="none" w:sz="0" w:space="0" w:color="auto"/>
            <w:bottom w:val="none" w:sz="0" w:space="0" w:color="auto"/>
            <w:right w:val="none" w:sz="0" w:space="0" w:color="auto"/>
          </w:divBdr>
          <w:divsChild>
            <w:div w:id="1431778488">
              <w:marLeft w:val="0"/>
              <w:marRight w:val="0"/>
              <w:marTop w:val="0"/>
              <w:marBottom w:val="0"/>
              <w:divBdr>
                <w:top w:val="none" w:sz="0" w:space="0" w:color="auto"/>
                <w:left w:val="none" w:sz="0" w:space="0" w:color="auto"/>
                <w:bottom w:val="none" w:sz="0" w:space="0" w:color="auto"/>
                <w:right w:val="none" w:sz="0" w:space="0" w:color="auto"/>
              </w:divBdr>
            </w:div>
          </w:divsChild>
        </w:div>
        <w:div w:id="481655571">
          <w:marLeft w:val="0"/>
          <w:marRight w:val="0"/>
          <w:marTop w:val="0"/>
          <w:marBottom w:val="0"/>
          <w:divBdr>
            <w:top w:val="none" w:sz="0" w:space="0" w:color="auto"/>
            <w:left w:val="none" w:sz="0" w:space="0" w:color="auto"/>
            <w:bottom w:val="none" w:sz="0" w:space="0" w:color="auto"/>
            <w:right w:val="none" w:sz="0" w:space="0" w:color="auto"/>
          </w:divBdr>
          <w:divsChild>
            <w:div w:id="1601837342">
              <w:marLeft w:val="0"/>
              <w:marRight w:val="0"/>
              <w:marTop w:val="0"/>
              <w:marBottom w:val="0"/>
              <w:divBdr>
                <w:top w:val="none" w:sz="0" w:space="0" w:color="auto"/>
                <w:left w:val="none" w:sz="0" w:space="0" w:color="auto"/>
                <w:bottom w:val="none" w:sz="0" w:space="0" w:color="auto"/>
                <w:right w:val="none" w:sz="0" w:space="0" w:color="auto"/>
              </w:divBdr>
            </w:div>
          </w:divsChild>
        </w:div>
        <w:div w:id="1321541422">
          <w:marLeft w:val="0"/>
          <w:marRight w:val="0"/>
          <w:marTop w:val="0"/>
          <w:marBottom w:val="0"/>
          <w:divBdr>
            <w:top w:val="none" w:sz="0" w:space="0" w:color="auto"/>
            <w:left w:val="none" w:sz="0" w:space="0" w:color="auto"/>
            <w:bottom w:val="none" w:sz="0" w:space="0" w:color="auto"/>
            <w:right w:val="none" w:sz="0" w:space="0" w:color="auto"/>
          </w:divBdr>
          <w:divsChild>
            <w:div w:id="730546151">
              <w:marLeft w:val="0"/>
              <w:marRight w:val="0"/>
              <w:marTop w:val="0"/>
              <w:marBottom w:val="0"/>
              <w:divBdr>
                <w:top w:val="none" w:sz="0" w:space="0" w:color="auto"/>
                <w:left w:val="none" w:sz="0" w:space="0" w:color="auto"/>
                <w:bottom w:val="none" w:sz="0" w:space="0" w:color="auto"/>
                <w:right w:val="none" w:sz="0" w:space="0" w:color="auto"/>
              </w:divBdr>
            </w:div>
            <w:div w:id="99303172">
              <w:marLeft w:val="0"/>
              <w:marRight w:val="0"/>
              <w:marTop w:val="0"/>
              <w:marBottom w:val="0"/>
              <w:divBdr>
                <w:top w:val="none" w:sz="0" w:space="0" w:color="auto"/>
                <w:left w:val="none" w:sz="0" w:space="0" w:color="auto"/>
                <w:bottom w:val="none" w:sz="0" w:space="0" w:color="auto"/>
                <w:right w:val="none" w:sz="0" w:space="0" w:color="auto"/>
              </w:divBdr>
              <w:divsChild>
                <w:div w:id="1883469862">
                  <w:marLeft w:val="0"/>
                  <w:marRight w:val="0"/>
                  <w:marTop w:val="0"/>
                  <w:marBottom w:val="0"/>
                  <w:divBdr>
                    <w:top w:val="none" w:sz="0" w:space="0" w:color="auto"/>
                    <w:left w:val="none" w:sz="0" w:space="0" w:color="auto"/>
                    <w:bottom w:val="none" w:sz="0" w:space="0" w:color="auto"/>
                    <w:right w:val="none" w:sz="0" w:space="0" w:color="auto"/>
                  </w:divBdr>
                  <w:divsChild>
                    <w:div w:id="342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 VINEETH RAJA</dc:creator>
  <cp:keywords/>
  <dc:description/>
  <cp:lastModifiedBy>BANALA, VINEETH RAJA</cp:lastModifiedBy>
  <cp:revision>2</cp:revision>
  <dcterms:created xsi:type="dcterms:W3CDTF">2025-05-05T18:09:00Z</dcterms:created>
  <dcterms:modified xsi:type="dcterms:W3CDTF">2025-05-05T18:15:00Z</dcterms:modified>
</cp:coreProperties>
</file>