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EA0BE" w14:textId="77777777" w:rsidR="004E02A1" w:rsidRDefault="00000000">
      <w:pPr>
        <w:spacing w:before="480" w:after="200"/>
        <w:jc w:val="center"/>
      </w:pPr>
      <w:r>
        <w:rPr>
          <w:b/>
          <w:bCs/>
          <w:color w:val="1F3864"/>
          <w:sz w:val="52"/>
          <w:szCs w:val="52"/>
        </w:rPr>
        <w:t>Geometric Brownian Motion</w:t>
      </w:r>
    </w:p>
    <w:p w14:paraId="018EA0BF" w14:textId="77777777" w:rsidR="004E02A1" w:rsidRDefault="00000000">
      <w:pPr>
        <w:spacing w:after="160"/>
        <w:jc w:val="center"/>
      </w:pPr>
      <w:r>
        <w:rPr>
          <w:color w:val="2563EB"/>
          <w:sz w:val="30"/>
          <w:szCs w:val="30"/>
        </w:rPr>
        <w:t>Simulating Asset Prices with Stochastic Calculus</w:t>
      </w:r>
    </w:p>
    <w:p w14:paraId="018EA0C0" w14:textId="77777777" w:rsidR="004E02A1" w:rsidRDefault="00000000">
      <w:pPr>
        <w:spacing w:after="480"/>
        <w:jc w:val="center"/>
        <w:rPr>
          <w:i/>
          <w:iCs/>
          <w:color w:val="475569"/>
        </w:rPr>
      </w:pPr>
      <w:r>
        <w:rPr>
          <w:i/>
          <w:iCs/>
          <w:color w:val="475569"/>
        </w:rPr>
        <w:t>Tickers: SanDisk (</w:t>
      </w:r>
      <w:proofErr w:type="gramStart"/>
      <w:r>
        <w:rPr>
          <w:i/>
          <w:iCs/>
          <w:color w:val="475569"/>
        </w:rPr>
        <w:t>SNDK)  ·</w:t>
      </w:r>
      <w:proofErr w:type="gramEnd"/>
      <w:r>
        <w:rPr>
          <w:i/>
          <w:iCs/>
          <w:color w:val="475569"/>
        </w:rPr>
        <w:t xml:space="preserve">  ASML Holding (ASML)</w:t>
      </w:r>
    </w:p>
    <w:p w14:paraId="018EA0C1" w14:textId="4A7DCC8A" w:rsidR="004E02A1" w:rsidRPr="00EC6977" w:rsidRDefault="00470EC5" w:rsidP="007566D7">
      <w:pPr>
        <w:spacing w:after="480"/>
        <w:rPr>
          <w:rFonts w:ascii="Times New Roman" w:hAnsi="Times New Roman" w:cs="Times New Roman"/>
          <w:b/>
          <w:bCs/>
          <w:sz w:val="26"/>
          <w:szCs w:val="26"/>
        </w:rPr>
      </w:pPr>
      <w:r w:rsidRPr="00EC6977">
        <w:rPr>
          <w:rFonts w:ascii="Times New Roman" w:hAnsi="Times New Roman" w:cs="Times New Roman"/>
          <w:b/>
          <w:bCs/>
          <w:sz w:val="26"/>
          <w:szCs w:val="26"/>
        </w:rPr>
        <w:t>Author</w:t>
      </w:r>
      <w:r w:rsidR="007566D7" w:rsidRPr="00EC6977">
        <w:rPr>
          <w:rFonts w:ascii="Times New Roman" w:hAnsi="Times New Roman" w:cs="Times New Roman"/>
          <w:b/>
          <w:bCs/>
          <w:sz w:val="26"/>
          <w:szCs w:val="26"/>
        </w:rPr>
        <w:t xml:space="preserve">: </w:t>
      </w:r>
      <w:r w:rsidR="007335E4" w:rsidRPr="00EC6977">
        <w:rPr>
          <w:rFonts w:ascii="Times New Roman" w:hAnsi="Times New Roman" w:cs="Times New Roman"/>
          <w:b/>
          <w:bCs/>
          <w:sz w:val="26"/>
          <w:szCs w:val="26"/>
        </w:rPr>
        <w:t>Gurveer Sidhu</w:t>
      </w:r>
    </w:p>
    <w:p w14:paraId="018EA0C2" w14:textId="77777777" w:rsidR="004E02A1" w:rsidRDefault="00000000">
      <w:pPr>
        <w:pStyle w:val="Heading1"/>
        <w:pBdr>
          <w:bottom w:val="single" w:sz="6" w:space="4" w:color="0EA5E9"/>
        </w:pBdr>
      </w:pPr>
      <w:r>
        <w:t>Executive Summary</w:t>
      </w:r>
    </w:p>
    <w:p w14:paraId="018EA0C3" w14:textId="77777777" w:rsidR="004E02A1" w:rsidRDefault="00000000">
      <w:pPr>
        <w:spacing w:after="120"/>
        <w:jc w:val="both"/>
      </w:pPr>
      <w:r>
        <w:rPr>
          <w:color w:val="334155"/>
        </w:rPr>
        <w:t>This project applies Geometric Brownian Motion (GBM) to simulate the future price paths of two technology stocks: SanDisk Corporation (SNDK) and ASML Holding N.V. (ASML). By estimating drift and volatility parameters from historical market data and running Monte Carlo simulations, we generate probabilistic forecasts over a three-year horizon. We further apply the Black-Scholes-Merton framework to price European call options on both equities.</w:t>
      </w:r>
    </w:p>
    <w:p w14:paraId="018EA0C4" w14:textId="77777777" w:rsidR="004E02A1" w:rsidRDefault="00000000">
      <w:pPr>
        <w:spacing w:after="120"/>
        <w:jc w:val="both"/>
      </w:pPr>
      <w:r>
        <w:rPr>
          <w:color w:val="334155"/>
        </w:rPr>
        <w:t>GBM, rooted in the mathematics of the Wiener process and Ito calculus, remains the cornerstone of modern quantitative finance despite its well-known simplifying assumptions. This project demonstrates the full pipeline from theoretical foundations through empirical implementation.</w:t>
      </w:r>
    </w:p>
    <w:p w14:paraId="018EA0C5" w14:textId="77777777" w:rsidR="004E02A1" w:rsidRDefault="004E02A1">
      <w:pPr>
        <w:spacing w:after="120"/>
      </w:pPr>
    </w:p>
    <w:p w14:paraId="018EA0C6" w14:textId="77777777" w:rsidR="004E02A1" w:rsidRDefault="00000000">
      <w:pPr>
        <w:pStyle w:val="Heading1"/>
        <w:pBdr>
          <w:bottom w:val="single" w:sz="6" w:space="4" w:color="0EA5E9"/>
        </w:pBdr>
      </w:pPr>
      <w:r>
        <w:t>1. Theoretical Background</w:t>
      </w:r>
    </w:p>
    <w:p w14:paraId="018EA0C7" w14:textId="77777777" w:rsidR="004E02A1" w:rsidRDefault="00000000">
      <w:pPr>
        <w:pStyle w:val="Heading2"/>
      </w:pPr>
      <w:r>
        <w:t>1.1 Standard Brownian Motion (Wiener Process)</w:t>
      </w:r>
    </w:p>
    <w:p w14:paraId="018EA0C8" w14:textId="77777777" w:rsidR="004E02A1" w:rsidRDefault="00000000">
      <w:pPr>
        <w:spacing w:after="120"/>
        <w:jc w:val="both"/>
      </w:pPr>
      <w:r>
        <w:rPr>
          <w:color w:val="334155"/>
        </w:rPr>
        <w:t>A standard Brownian motion {</w:t>
      </w:r>
      <w:proofErr w:type="spellStart"/>
      <w:r>
        <w:rPr>
          <w:color w:val="334155"/>
        </w:rPr>
        <w:t>W_t</w:t>
      </w:r>
      <w:proofErr w:type="spellEnd"/>
      <w:r>
        <w:rPr>
          <w:color w:val="334155"/>
        </w:rPr>
        <w:t xml:space="preserve">, t &gt;= </w:t>
      </w:r>
      <w:proofErr w:type="gramStart"/>
      <w:r>
        <w:rPr>
          <w:color w:val="334155"/>
        </w:rPr>
        <w:t>0},</w:t>
      </w:r>
      <w:proofErr w:type="gramEnd"/>
      <w:r>
        <w:rPr>
          <w:color w:val="334155"/>
        </w:rPr>
        <w:t xml:space="preserve"> also called a Wiener process, is a continuous-time stochastic process defined by four fundamental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E02A1" w14:paraId="018EA0C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F3864"/>
            <w:tcMar>
              <w:top w:w="80" w:type="dxa"/>
              <w:left w:w="120" w:type="dxa"/>
              <w:bottom w:w="80" w:type="dxa"/>
              <w:right w:w="120" w:type="dxa"/>
            </w:tcMar>
          </w:tcPr>
          <w:p w14:paraId="018EA0C9" w14:textId="77777777" w:rsidR="004E02A1" w:rsidRDefault="00000000">
            <w:pPr>
              <w:jc w:val="center"/>
            </w:pPr>
            <w:r>
              <w:rPr>
                <w:b/>
                <w:bCs/>
                <w:color w:val="FFFFFF"/>
                <w:sz w:val="20"/>
                <w:szCs w:val="20"/>
              </w:rPr>
              <w:t>Property</w:t>
            </w:r>
          </w:p>
        </w:tc>
        <w:tc>
          <w:tcPr>
            <w:tcW w:w="6560" w:type="dxa"/>
            <w:tcBorders>
              <w:top w:val="single" w:sz="1" w:space="0" w:color="CBD5E1"/>
              <w:left w:val="single" w:sz="1" w:space="0" w:color="CBD5E1"/>
              <w:bottom w:val="single" w:sz="1" w:space="0" w:color="CBD5E1"/>
              <w:right w:val="single" w:sz="1" w:space="0" w:color="CBD5E1"/>
            </w:tcBorders>
            <w:shd w:val="clear" w:color="auto" w:fill="1F3864"/>
            <w:tcMar>
              <w:top w:w="80" w:type="dxa"/>
              <w:left w:w="120" w:type="dxa"/>
              <w:bottom w:w="80" w:type="dxa"/>
              <w:right w:w="120" w:type="dxa"/>
            </w:tcMar>
          </w:tcPr>
          <w:p w14:paraId="018EA0CA" w14:textId="77777777" w:rsidR="004E02A1" w:rsidRDefault="00000000">
            <w:pPr>
              <w:jc w:val="center"/>
            </w:pPr>
            <w:r>
              <w:rPr>
                <w:b/>
                <w:bCs/>
                <w:color w:val="FFFFFF"/>
                <w:sz w:val="20"/>
                <w:szCs w:val="20"/>
              </w:rPr>
              <w:t>Mathematical Statement</w:t>
            </w:r>
          </w:p>
        </w:tc>
      </w:tr>
      <w:tr w:rsidR="004E02A1" w14:paraId="018EA0C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0CC" w14:textId="77777777" w:rsidR="004E02A1" w:rsidRDefault="00000000">
            <w:r>
              <w:rPr>
                <w:color w:val="334155"/>
                <w:sz w:val="20"/>
                <w:szCs w:val="20"/>
              </w:rPr>
              <w:t>Initial Condition</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0CD" w14:textId="77777777" w:rsidR="004E02A1" w:rsidRDefault="00000000">
            <w:r>
              <w:rPr>
                <w:color w:val="334155"/>
                <w:sz w:val="20"/>
                <w:szCs w:val="20"/>
              </w:rPr>
              <w:t xml:space="preserve">W_0 = </w:t>
            </w:r>
            <w:proofErr w:type="gramStart"/>
            <w:r>
              <w:rPr>
                <w:color w:val="334155"/>
                <w:sz w:val="20"/>
                <w:szCs w:val="20"/>
              </w:rPr>
              <w:t>0  (</w:t>
            </w:r>
            <w:proofErr w:type="gramEnd"/>
            <w:r>
              <w:rPr>
                <w:color w:val="334155"/>
                <w:sz w:val="20"/>
                <w:szCs w:val="20"/>
              </w:rPr>
              <w:t>the process starts at zero)</w:t>
            </w:r>
          </w:p>
        </w:tc>
      </w:tr>
      <w:tr w:rsidR="004E02A1" w14:paraId="018EA0D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8EA0CF" w14:textId="77777777" w:rsidR="004E02A1" w:rsidRDefault="00000000">
            <w:r>
              <w:rPr>
                <w:color w:val="334155"/>
                <w:sz w:val="20"/>
                <w:szCs w:val="20"/>
              </w:rPr>
              <w:t>Independent Increments</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8EA0D0" w14:textId="77777777" w:rsidR="004E02A1" w:rsidRDefault="00000000">
            <w:proofErr w:type="spellStart"/>
            <w:r>
              <w:rPr>
                <w:color w:val="334155"/>
                <w:sz w:val="20"/>
                <w:szCs w:val="20"/>
              </w:rPr>
              <w:t>W_t</w:t>
            </w:r>
            <w:proofErr w:type="spellEnd"/>
            <w:r>
              <w:rPr>
                <w:color w:val="334155"/>
                <w:sz w:val="20"/>
                <w:szCs w:val="20"/>
              </w:rPr>
              <w:t xml:space="preserve"> - W_s is independent of F_s for all s &lt; t</w:t>
            </w:r>
          </w:p>
        </w:tc>
      </w:tr>
      <w:tr w:rsidR="004E02A1" w14:paraId="018EA0D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0D2" w14:textId="77777777" w:rsidR="004E02A1" w:rsidRDefault="00000000">
            <w:r>
              <w:rPr>
                <w:color w:val="334155"/>
                <w:sz w:val="20"/>
                <w:szCs w:val="20"/>
              </w:rPr>
              <w:t>Gaussian Increments</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0D3" w14:textId="77777777" w:rsidR="004E02A1" w:rsidRDefault="00000000">
            <w:proofErr w:type="spellStart"/>
            <w:r>
              <w:rPr>
                <w:color w:val="334155"/>
                <w:sz w:val="20"/>
                <w:szCs w:val="20"/>
              </w:rPr>
              <w:t>W_t</w:t>
            </w:r>
            <w:proofErr w:type="spellEnd"/>
            <w:r>
              <w:rPr>
                <w:color w:val="334155"/>
                <w:sz w:val="20"/>
                <w:szCs w:val="20"/>
              </w:rPr>
              <w:t xml:space="preserve"> - W_s ~ </w:t>
            </w:r>
            <w:proofErr w:type="gramStart"/>
            <w:r>
              <w:rPr>
                <w:color w:val="334155"/>
                <w:sz w:val="20"/>
                <w:szCs w:val="20"/>
              </w:rPr>
              <w:t>N(</w:t>
            </w:r>
            <w:proofErr w:type="gramEnd"/>
            <w:r>
              <w:rPr>
                <w:color w:val="334155"/>
                <w:sz w:val="20"/>
                <w:szCs w:val="20"/>
              </w:rPr>
              <w:t>0, t-s) for 0 &lt;= s &lt; t</w:t>
            </w:r>
          </w:p>
        </w:tc>
      </w:tr>
      <w:tr w:rsidR="004E02A1" w14:paraId="018EA0D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8EA0D5" w14:textId="77777777" w:rsidR="004E02A1" w:rsidRDefault="00000000">
            <w:r>
              <w:rPr>
                <w:color w:val="334155"/>
                <w:sz w:val="20"/>
                <w:szCs w:val="20"/>
              </w:rPr>
              <w:t>Continuous Paths</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8EA0D6" w14:textId="77777777" w:rsidR="004E02A1" w:rsidRDefault="00000000">
            <w:r>
              <w:rPr>
                <w:color w:val="334155"/>
                <w:sz w:val="20"/>
                <w:szCs w:val="20"/>
              </w:rPr>
              <w:t xml:space="preserve">The function t -&gt; </w:t>
            </w:r>
            <w:proofErr w:type="spellStart"/>
            <w:r>
              <w:rPr>
                <w:color w:val="334155"/>
                <w:sz w:val="20"/>
                <w:szCs w:val="20"/>
              </w:rPr>
              <w:t>W_t</w:t>
            </w:r>
            <w:proofErr w:type="spellEnd"/>
            <w:r>
              <w:rPr>
                <w:color w:val="334155"/>
                <w:sz w:val="20"/>
                <w:szCs w:val="20"/>
              </w:rPr>
              <w:t xml:space="preserve"> is continuous almost surely</w:t>
            </w:r>
          </w:p>
        </w:tc>
      </w:tr>
    </w:tbl>
    <w:p w14:paraId="018EA0D8" w14:textId="77777777" w:rsidR="004E02A1" w:rsidRDefault="00000000">
      <w:pPr>
        <w:spacing w:before="60" w:after="200"/>
        <w:jc w:val="center"/>
      </w:pPr>
      <w:r>
        <w:rPr>
          <w:i/>
          <w:iCs/>
          <w:color w:val="64748B"/>
          <w:sz w:val="18"/>
          <w:szCs w:val="18"/>
        </w:rPr>
        <w:t>Table 1. The four defining axioms of the Wiener process.</w:t>
      </w:r>
    </w:p>
    <w:p w14:paraId="018EA0D9" w14:textId="77777777" w:rsidR="004E02A1" w:rsidRDefault="00000000">
      <w:pPr>
        <w:spacing w:after="120"/>
        <w:jc w:val="both"/>
      </w:pPr>
      <w:r>
        <w:rPr>
          <w:color w:val="334155"/>
        </w:rPr>
        <w:t>The variance grows linearly with time (Var(</w:t>
      </w:r>
      <w:proofErr w:type="spellStart"/>
      <w:r>
        <w:rPr>
          <w:color w:val="334155"/>
        </w:rPr>
        <w:t>W_t</w:t>
      </w:r>
      <w:proofErr w:type="spellEnd"/>
      <w:r>
        <w:rPr>
          <w:color w:val="334155"/>
        </w:rPr>
        <w:t>) = t), reflecting the "</w:t>
      </w:r>
      <w:proofErr w:type="gramStart"/>
      <w:r>
        <w:rPr>
          <w:color w:val="334155"/>
        </w:rPr>
        <w:t>square-root</w:t>
      </w:r>
      <w:proofErr w:type="gramEnd"/>
      <w:r>
        <w:rPr>
          <w:color w:val="334155"/>
        </w:rPr>
        <w:t xml:space="preserve"> of time" rule used in risk scaling throughout finance.</w:t>
      </w:r>
    </w:p>
    <w:p w14:paraId="018EA0DA" w14:textId="77777777" w:rsidR="004E02A1" w:rsidRDefault="00000000">
      <w:pPr>
        <w:pStyle w:val="Heading2"/>
      </w:pPr>
      <w:r>
        <w:t>1.2 Geometric Brownian Motion</w:t>
      </w:r>
    </w:p>
    <w:p w14:paraId="018EA0DB" w14:textId="77777777" w:rsidR="004E02A1" w:rsidRDefault="00000000">
      <w:pPr>
        <w:spacing w:after="120"/>
        <w:jc w:val="both"/>
      </w:pPr>
      <w:r>
        <w:rPr>
          <w:color w:val="334155"/>
        </w:rPr>
        <w:lastRenderedPageBreak/>
        <w:t>While standard Brownian motion is symmetric around zero and can become negative, stock prices are strictly positive. Geometric Brownian Motion addresses this by modelling the log-price, rather than the price directly.</w:t>
      </w:r>
    </w:p>
    <w:p w14:paraId="018EA0DC" w14:textId="77777777" w:rsidR="004E02A1" w:rsidRDefault="00000000">
      <w:pPr>
        <w:spacing w:after="120"/>
        <w:jc w:val="both"/>
      </w:pPr>
      <w:r>
        <w:rPr>
          <w:color w:val="334155"/>
        </w:rPr>
        <w:t>A stock price S_t follows GBM when it satisfies the stochastic differential equation (SDE):</w:t>
      </w:r>
    </w:p>
    <w:p w14:paraId="018EA0DD" w14:textId="77777777" w:rsidR="004E02A1" w:rsidRDefault="00000000">
      <w:pPr>
        <w:shd w:val="clear" w:color="auto" w:fill="F1F5F9"/>
        <w:spacing w:before="120" w:after="120"/>
      </w:pPr>
      <w:r>
        <w:rPr>
          <w:rFonts w:ascii="Courier New" w:eastAsia="Courier New" w:hAnsi="Courier New" w:cs="Courier New"/>
          <w:b/>
          <w:bCs/>
          <w:color w:val="1F3864"/>
          <w:sz w:val="24"/>
          <w:szCs w:val="24"/>
        </w:rPr>
        <w:t xml:space="preserve">     </w:t>
      </w:r>
      <w:proofErr w:type="spellStart"/>
      <w:r>
        <w:rPr>
          <w:rFonts w:ascii="Courier New" w:eastAsia="Courier New" w:hAnsi="Courier New" w:cs="Courier New"/>
          <w:b/>
          <w:bCs/>
          <w:color w:val="1F3864"/>
          <w:sz w:val="24"/>
          <w:szCs w:val="24"/>
        </w:rPr>
        <w:t>dS_</w:t>
      </w:r>
      <w:proofErr w:type="gramStart"/>
      <w:r>
        <w:rPr>
          <w:rFonts w:ascii="Courier New" w:eastAsia="Courier New" w:hAnsi="Courier New" w:cs="Courier New"/>
          <w:b/>
          <w:bCs/>
          <w:color w:val="1F3864"/>
          <w:sz w:val="24"/>
          <w:szCs w:val="24"/>
        </w:rPr>
        <w:t>t</w:t>
      </w:r>
      <w:proofErr w:type="spellEnd"/>
      <w:r>
        <w:rPr>
          <w:rFonts w:ascii="Courier New" w:eastAsia="Courier New" w:hAnsi="Courier New" w:cs="Courier New"/>
          <w:b/>
          <w:bCs/>
          <w:color w:val="1F3864"/>
          <w:sz w:val="24"/>
          <w:szCs w:val="24"/>
        </w:rPr>
        <w:t xml:space="preserve">  =</w:t>
      </w:r>
      <w:proofErr w:type="gramEnd"/>
      <w:r>
        <w:rPr>
          <w:rFonts w:ascii="Courier New" w:eastAsia="Courier New" w:hAnsi="Courier New" w:cs="Courier New"/>
          <w:b/>
          <w:bCs/>
          <w:color w:val="1F3864"/>
          <w:sz w:val="24"/>
          <w:szCs w:val="24"/>
        </w:rPr>
        <w:t xml:space="preserve">  μ · S_t · </w:t>
      </w:r>
      <w:proofErr w:type="gramStart"/>
      <w:r>
        <w:rPr>
          <w:rFonts w:ascii="Courier New" w:eastAsia="Courier New" w:hAnsi="Courier New" w:cs="Courier New"/>
          <w:b/>
          <w:bCs/>
          <w:color w:val="1F3864"/>
          <w:sz w:val="24"/>
          <w:szCs w:val="24"/>
        </w:rPr>
        <w:t>dt  +</w:t>
      </w:r>
      <w:proofErr w:type="gramEnd"/>
      <w:r>
        <w:rPr>
          <w:rFonts w:ascii="Courier New" w:eastAsia="Courier New" w:hAnsi="Courier New" w:cs="Courier New"/>
          <w:b/>
          <w:bCs/>
          <w:color w:val="1F3864"/>
          <w:sz w:val="24"/>
          <w:szCs w:val="24"/>
        </w:rPr>
        <w:t xml:space="preserve">  σ · S_t · </w:t>
      </w:r>
      <w:proofErr w:type="spellStart"/>
      <w:r>
        <w:rPr>
          <w:rFonts w:ascii="Courier New" w:eastAsia="Courier New" w:hAnsi="Courier New" w:cs="Courier New"/>
          <w:b/>
          <w:bCs/>
          <w:color w:val="1F3864"/>
          <w:sz w:val="24"/>
          <w:szCs w:val="24"/>
        </w:rPr>
        <w:t>dW_t</w:t>
      </w:r>
      <w:proofErr w:type="spellEnd"/>
    </w:p>
    <w:p w14:paraId="018EA0DE" w14:textId="26AC7BC6" w:rsidR="004E02A1" w:rsidRDefault="00000000">
      <w:pPr>
        <w:spacing w:after="120"/>
        <w:jc w:val="both"/>
      </w:pPr>
      <w:r>
        <w:rPr>
          <w:color w:val="334155"/>
        </w:rPr>
        <w:t xml:space="preserve">where μ (mu) is the </w:t>
      </w:r>
      <w:r w:rsidR="007566D7">
        <w:rPr>
          <w:color w:val="334155"/>
        </w:rPr>
        <w:t>annualized</w:t>
      </w:r>
      <w:r>
        <w:rPr>
          <w:color w:val="334155"/>
        </w:rPr>
        <w:t xml:space="preserve"> percentage drift and σ (sigma) is the </w:t>
      </w:r>
      <w:r w:rsidR="007566D7">
        <w:rPr>
          <w:color w:val="334155"/>
        </w:rPr>
        <w:t>annualized</w:t>
      </w:r>
      <w:r>
        <w:rPr>
          <w:color w:val="334155"/>
        </w:rPr>
        <w:t xml:space="preserve"> percentage volatility.</w:t>
      </w:r>
    </w:p>
    <w:p w14:paraId="018EA0DF" w14:textId="77777777" w:rsidR="004E02A1" w:rsidRDefault="00000000">
      <w:pPr>
        <w:pStyle w:val="Heading2"/>
      </w:pPr>
      <w:r>
        <w:t>1.3 Closed-Form Solution via Ito's Lemma</w:t>
      </w:r>
    </w:p>
    <w:p w14:paraId="018EA0E0" w14:textId="77777777" w:rsidR="004E02A1" w:rsidRDefault="00000000">
      <w:pPr>
        <w:spacing w:after="120"/>
        <w:jc w:val="both"/>
      </w:pPr>
      <w:r>
        <w:rPr>
          <w:color w:val="334155"/>
        </w:rPr>
        <w:t>Standard calculus cannot be applied directly to stochastic differentials. Ito's Lemma provides the correct chain rule for functions of Brownian motion. Applying it to f(S_t) = ln(S_t) transforms the multiplicative SDE into an additive one, which can be integrated directly.</w:t>
      </w:r>
    </w:p>
    <w:p w14:paraId="018EA0E1" w14:textId="77777777" w:rsidR="004E02A1" w:rsidRDefault="00000000">
      <w:pPr>
        <w:spacing w:after="120"/>
        <w:jc w:val="both"/>
      </w:pPr>
      <w:r>
        <w:rPr>
          <w:color w:val="334155"/>
        </w:rPr>
        <w:t>The exact solution is:</w:t>
      </w:r>
    </w:p>
    <w:p w14:paraId="018EA0E2" w14:textId="77777777" w:rsidR="004E02A1" w:rsidRDefault="00000000">
      <w:pPr>
        <w:spacing w:before="120" w:after="120"/>
      </w:pPr>
      <w:r>
        <w:rPr>
          <w:rFonts w:ascii="Courier New" w:eastAsia="Courier New" w:hAnsi="Courier New" w:cs="Courier New"/>
          <w:b/>
          <w:bCs/>
          <w:color w:val="1F3864"/>
          <w:sz w:val="24"/>
          <w:szCs w:val="24"/>
        </w:rPr>
        <w:t xml:space="preserve">     S_</w:t>
      </w:r>
      <w:proofErr w:type="gramStart"/>
      <w:r>
        <w:rPr>
          <w:rFonts w:ascii="Courier New" w:eastAsia="Courier New" w:hAnsi="Courier New" w:cs="Courier New"/>
          <w:b/>
          <w:bCs/>
          <w:color w:val="1F3864"/>
          <w:sz w:val="24"/>
          <w:szCs w:val="24"/>
        </w:rPr>
        <w:t>t  =</w:t>
      </w:r>
      <w:proofErr w:type="gramEnd"/>
      <w:r>
        <w:rPr>
          <w:rFonts w:ascii="Courier New" w:eastAsia="Courier New" w:hAnsi="Courier New" w:cs="Courier New"/>
          <w:b/>
          <w:bCs/>
          <w:color w:val="1F3864"/>
          <w:sz w:val="24"/>
          <w:szCs w:val="24"/>
        </w:rPr>
        <w:t xml:space="preserve">  S_0 · exp [ (μ - σ²/2) · </w:t>
      </w:r>
      <w:proofErr w:type="gramStart"/>
      <w:r>
        <w:rPr>
          <w:rFonts w:ascii="Courier New" w:eastAsia="Courier New" w:hAnsi="Courier New" w:cs="Courier New"/>
          <w:b/>
          <w:bCs/>
          <w:color w:val="1F3864"/>
          <w:sz w:val="24"/>
          <w:szCs w:val="24"/>
        </w:rPr>
        <w:t>t  +</w:t>
      </w:r>
      <w:proofErr w:type="gramEnd"/>
      <w:r>
        <w:rPr>
          <w:rFonts w:ascii="Courier New" w:eastAsia="Courier New" w:hAnsi="Courier New" w:cs="Courier New"/>
          <w:b/>
          <w:bCs/>
          <w:color w:val="1F3864"/>
          <w:sz w:val="24"/>
          <w:szCs w:val="24"/>
        </w:rPr>
        <w:t xml:space="preserve">  σ · </w:t>
      </w:r>
      <w:proofErr w:type="spellStart"/>
      <w:r>
        <w:rPr>
          <w:rFonts w:ascii="Courier New" w:eastAsia="Courier New" w:hAnsi="Courier New" w:cs="Courier New"/>
          <w:b/>
          <w:bCs/>
          <w:color w:val="1F3864"/>
          <w:sz w:val="24"/>
          <w:szCs w:val="24"/>
        </w:rPr>
        <w:t>W_</w:t>
      </w:r>
      <w:proofErr w:type="gramStart"/>
      <w:r>
        <w:rPr>
          <w:rFonts w:ascii="Courier New" w:eastAsia="Courier New" w:hAnsi="Courier New" w:cs="Courier New"/>
          <w:b/>
          <w:bCs/>
          <w:color w:val="1F3864"/>
          <w:sz w:val="24"/>
          <w:szCs w:val="24"/>
        </w:rPr>
        <w:t>t</w:t>
      </w:r>
      <w:proofErr w:type="spellEnd"/>
      <w:r>
        <w:rPr>
          <w:rFonts w:ascii="Courier New" w:eastAsia="Courier New" w:hAnsi="Courier New" w:cs="Courier New"/>
          <w:b/>
          <w:bCs/>
          <w:color w:val="1F3864"/>
          <w:sz w:val="24"/>
          <w:szCs w:val="24"/>
        </w:rPr>
        <w:t xml:space="preserve"> ]</w:t>
      </w:r>
      <w:proofErr w:type="gramEnd"/>
    </w:p>
    <w:p w14:paraId="018EA0E3" w14:textId="77777777" w:rsidR="004E02A1" w:rsidRDefault="00000000">
      <w:pPr>
        <w:spacing w:after="120"/>
        <w:jc w:val="both"/>
      </w:pPr>
      <w:r>
        <w:rPr>
          <w:color w:val="334155"/>
        </w:rPr>
        <w:t xml:space="preserve">The σ²/2 correction term is the Ito correction — it arises from the second-order term in Ito's Lemma and ensures that E[S_t] = S_0 · </w:t>
      </w:r>
      <w:proofErr w:type="gramStart"/>
      <w:r>
        <w:rPr>
          <w:color w:val="334155"/>
        </w:rPr>
        <w:t>exp(</w:t>
      </w:r>
      <w:proofErr w:type="gramEnd"/>
      <w:r>
        <w:rPr>
          <w:color w:val="334155"/>
        </w:rPr>
        <w:t>μ · t) as expected from the linear drift in the original SDE.</w:t>
      </w:r>
    </w:p>
    <w:p w14:paraId="018EA0E4" w14:textId="77777777" w:rsidR="004E02A1" w:rsidRDefault="00000000">
      <w:pPr>
        <w:pStyle w:val="Heading2"/>
      </w:pPr>
      <w:r>
        <w:t>1.4 Why GBM Is Suitable for Stock Prices</w:t>
      </w:r>
    </w:p>
    <w:p w14:paraId="018EA0E5" w14:textId="77777777" w:rsidR="004E02A1" w:rsidRDefault="00000000">
      <w:pPr>
        <w:pStyle w:val="ListParagraph"/>
        <w:numPr>
          <w:ilvl w:val="0"/>
          <w:numId w:val="2"/>
        </w:numPr>
        <w:spacing w:after="80"/>
      </w:pPr>
      <w:r>
        <w:rPr>
          <w:color w:val="334155"/>
        </w:rPr>
        <w:t>Positivity: The exponential function guarantees S_t &gt; 0 for all t, consistent with limited liability of equity.</w:t>
      </w:r>
    </w:p>
    <w:p w14:paraId="018EA0E6" w14:textId="77777777" w:rsidR="004E02A1" w:rsidRDefault="00000000">
      <w:pPr>
        <w:pStyle w:val="ListParagraph"/>
        <w:numPr>
          <w:ilvl w:val="0"/>
          <w:numId w:val="2"/>
        </w:numPr>
        <w:spacing w:after="80"/>
      </w:pPr>
      <w:r>
        <w:rPr>
          <w:color w:val="334155"/>
        </w:rPr>
        <w:t>Log-normal returns: Empirically, log-returns are approximately normally distributed over short horizons, consistent with GBM.</w:t>
      </w:r>
    </w:p>
    <w:p w14:paraId="018EA0E7" w14:textId="77777777" w:rsidR="004E02A1" w:rsidRDefault="00000000">
      <w:pPr>
        <w:pStyle w:val="ListParagraph"/>
        <w:numPr>
          <w:ilvl w:val="0"/>
          <w:numId w:val="2"/>
        </w:numPr>
        <w:spacing w:after="80"/>
      </w:pPr>
      <w:r>
        <w:rPr>
          <w:color w:val="334155"/>
        </w:rPr>
        <w:t xml:space="preserve">Scale-invariance: GBM </w:t>
      </w:r>
      <w:proofErr w:type="gramStart"/>
      <w:r>
        <w:rPr>
          <w:color w:val="334155"/>
        </w:rPr>
        <w:t>models</w:t>
      </w:r>
      <w:proofErr w:type="gramEnd"/>
      <w:r>
        <w:rPr>
          <w:color w:val="334155"/>
        </w:rPr>
        <w:t xml:space="preserve"> percentage changes, not absolute price changes, which aligns with how markets operate.</w:t>
      </w:r>
    </w:p>
    <w:p w14:paraId="018EA0E8" w14:textId="77777777" w:rsidR="004E02A1" w:rsidRDefault="00000000">
      <w:pPr>
        <w:pStyle w:val="ListParagraph"/>
        <w:numPr>
          <w:ilvl w:val="0"/>
          <w:numId w:val="2"/>
        </w:numPr>
        <w:spacing w:after="80"/>
      </w:pPr>
      <w:r>
        <w:rPr>
          <w:color w:val="334155"/>
        </w:rPr>
        <w:t>Tractability: GBM yields closed-form solutions for option prices, Greeks, and hedging strategies.</w:t>
      </w:r>
    </w:p>
    <w:p w14:paraId="018EA0E9" w14:textId="77777777" w:rsidR="004E02A1" w:rsidRDefault="004E02A1">
      <w:pPr>
        <w:spacing w:after="120"/>
      </w:pPr>
    </w:p>
    <w:p w14:paraId="018EA0EA" w14:textId="77777777" w:rsidR="004E02A1" w:rsidRDefault="00000000">
      <w:pPr>
        <w:pStyle w:val="Heading1"/>
        <w:pBdr>
          <w:bottom w:val="single" w:sz="6" w:space="4" w:color="0EA5E9"/>
        </w:pBdr>
      </w:pPr>
      <w:r>
        <w:t>2. Data and Parameter Estimation</w:t>
      </w:r>
    </w:p>
    <w:p w14:paraId="018EA0EB" w14:textId="44B2BD98" w:rsidR="004E02A1" w:rsidRDefault="00000000">
      <w:pPr>
        <w:pStyle w:val="Heading2"/>
      </w:pPr>
      <w:r>
        <w:t xml:space="preserve">2.1 Tickers </w:t>
      </w:r>
      <w:r w:rsidR="007566D7">
        <w:t>Analyzed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360"/>
        <w:gridCol w:w="4200"/>
      </w:tblGrid>
      <w:tr w:rsidR="004E02A1" w14:paraId="018EA0EF"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1F3864"/>
            <w:tcMar>
              <w:top w:w="80" w:type="dxa"/>
              <w:left w:w="120" w:type="dxa"/>
              <w:bottom w:w="80" w:type="dxa"/>
              <w:right w:w="120" w:type="dxa"/>
            </w:tcMar>
          </w:tcPr>
          <w:p w14:paraId="018EA0EC" w14:textId="77777777" w:rsidR="004E02A1" w:rsidRDefault="00000000">
            <w:pPr>
              <w:jc w:val="center"/>
            </w:pPr>
            <w:r>
              <w:rPr>
                <w:b/>
                <w:bCs/>
                <w:color w:val="FFFFFF"/>
                <w:sz w:val="20"/>
                <w:szCs w:val="20"/>
              </w:rPr>
              <w:t>Ticker</w:t>
            </w:r>
          </w:p>
        </w:tc>
        <w:tc>
          <w:tcPr>
            <w:tcW w:w="3360" w:type="dxa"/>
            <w:tcBorders>
              <w:top w:val="single" w:sz="1" w:space="0" w:color="CBD5E1"/>
              <w:left w:val="single" w:sz="1" w:space="0" w:color="CBD5E1"/>
              <w:bottom w:val="single" w:sz="1" w:space="0" w:color="CBD5E1"/>
              <w:right w:val="single" w:sz="1" w:space="0" w:color="CBD5E1"/>
            </w:tcBorders>
            <w:shd w:val="clear" w:color="auto" w:fill="1F3864"/>
            <w:tcMar>
              <w:top w:w="80" w:type="dxa"/>
              <w:left w:w="120" w:type="dxa"/>
              <w:bottom w:w="80" w:type="dxa"/>
              <w:right w:w="120" w:type="dxa"/>
            </w:tcMar>
          </w:tcPr>
          <w:p w14:paraId="018EA0ED" w14:textId="77777777" w:rsidR="004E02A1" w:rsidRDefault="00000000">
            <w:pPr>
              <w:jc w:val="center"/>
            </w:pPr>
            <w:r>
              <w:rPr>
                <w:b/>
                <w:bCs/>
                <w:color w:val="FFFFFF"/>
                <w:sz w:val="20"/>
                <w:szCs w:val="20"/>
              </w:rPr>
              <w:t>Company</w:t>
            </w:r>
          </w:p>
        </w:tc>
        <w:tc>
          <w:tcPr>
            <w:tcW w:w="4200" w:type="dxa"/>
            <w:tcBorders>
              <w:top w:val="single" w:sz="1" w:space="0" w:color="CBD5E1"/>
              <w:left w:val="single" w:sz="1" w:space="0" w:color="CBD5E1"/>
              <w:bottom w:val="single" w:sz="1" w:space="0" w:color="CBD5E1"/>
              <w:right w:val="single" w:sz="1" w:space="0" w:color="CBD5E1"/>
            </w:tcBorders>
            <w:shd w:val="clear" w:color="auto" w:fill="1F3864"/>
            <w:tcMar>
              <w:top w:w="80" w:type="dxa"/>
              <w:left w:w="120" w:type="dxa"/>
              <w:bottom w:w="80" w:type="dxa"/>
              <w:right w:w="120" w:type="dxa"/>
            </w:tcMar>
          </w:tcPr>
          <w:p w14:paraId="018EA0EE" w14:textId="77777777" w:rsidR="004E02A1" w:rsidRDefault="00000000">
            <w:pPr>
              <w:jc w:val="center"/>
            </w:pPr>
            <w:r>
              <w:rPr>
                <w:b/>
                <w:bCs/>
                <w:color w:val="FFFFFF"/>
                <w:sz w:val="20"/>
                <w:szCs w:val="20"/>
              </w:rPr>
              <w:t>Description</w:t>
            </w:r>
          </w:p>
        </w:tc>
      </w:tr>
      <w:tr w:rsidR="004E02A1" w14:paraId="018EA0F3"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0F0" w14:textId="77777777" w:rsidR="004E02A1" w:rsidRDefault="00000000">
            <w:r>
              <w:rPr>
                <w:color w:val="334155"/>
                <w:sz w:val="20"/>
                <w:szCs w:val="20"/>
              </w:rPr>
              <w:t>SNDK</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0F1" w14:textId="77777777" w:rsidR="004E02A1" w:rsidRDefault="00000000">
            <w:r>
              <w:rPr>
                <w:color w:val="334155"/>
                <w:sz w:val="20"/>
                <w:szCs w:val="20"/>
              </w:rPr>
              <w:t>SanDisk Corporation</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0F2" w14:textId="77777777" w:rsidR="004E02A1" w:rsidRDefault="00000000">
            <w:r>
              <w:rPr>
                <w:color w:val="334155"/>
                <w:sz w:val="20"/>
                <w:szCs w:val="20"/>
              </w:rPr>
              <w:t>Flash storage leader; acquired by Western Digital in 2016. Full historical data used.</w:t>
            </w:r>
          </w:p>
        </w:tc>
      </w:tr>
      <w:tr w:rsidR="004E02A1" w14:paraId="018EA0F7"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8EA0F4" w14:textId="77777777" w:rsidR="004E02A1" w:rsidRDefault="00000000">
            <w:r>
              <w:rPr>
                <w:color w:val="334155"/>
                <w:sz w:val="20"/>
                <w:szCs w:val="20"/>
              </w:rPr>
              <w:t>ASML</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8EA0F5" w14:textId="77777777" w:rsidR="004E02A1" w:rsidRDefault="00000000">
            <w:r>
              <w:rPr>
                <w:color w:val="334155"/>
                <w:sz w:val="20"/>
                <w:szCs w:val="20"/>
              </w:rPr>
              <w:t>ASML Holding N.V.</w:t>
            </w:r>
          </w:p>
        </w:tc>
        <w:tc>
          <w:tcPr>
            <w:tcW w:w="4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8EA0F6" w14:textId="77777777" w:rsidR="004E02A1" w:rsidRDefault="00000000">
            <w:r>
              <w:rPr>
                <w:color w:val="334155"/>
                <w:sz w:val="20"/>
                <w:szCs w:val="20"/>
              </w:rPr>
              <w:t>Dutch semiconductor equipment company; world's sole supplier of EUV lithography machines.</w:t>
            </w:r>
          </w:p>
        </w:tc>
      </w:tr>
    </w:tbl>
    <w:p w14:paraId="018EA0F8" w14:textId="77777777" w:rsidR="004E02A1" w:rsidRDefault="00000000">
      <w:pPr>
        <w:spacing w:before="60" w:after="200"/>
        <w:jc w:val="center"/>
      </w:pPr>
      <w:r>
        <w:rPr>
          <w:i/>
          <w:iCs/>
          <w:color w:val="64748B"/>
          <w:sz w:val="18"/>
          <w:szCs w:val="18"/>
        </w:rPr>
        <w:t>Table 2. Tickers and company descriptions.</w:t>
      </w:r>
    </w:p>
    <w:p w14:paraId="018EA0F9" w14:textId="77777777" w:rsidR="004E02A1" w:rsidRDefault="00000000">
      <w:pPr>
        <w:pStyle w:val="Heading2"/>
      </w:pPr>
      <w:r>
        <w:t>2.2 Estimating GBM Parameters from Historical Data</w:t>
      </w:r>
    </w:p>
    <w:p w14:paraId="018EA0FA" w14:textId="77777777" w:rsidR="004E02A1" w:rsidRDefault="00000000">
      <w:pPr>
        <w:spacing w:after="120"/>
        <w:jc w:val="both"/>
      </w:pPr>
      <w:r>
        <w:rPr>
          <w:color w:val="334155"/>
        </w:rPr>
        <w:t xml:space="preserve">Under GBM, daily log-returns </w:t>
      </w:r>
      <w:proofErr w:type="spellStart"/>
      <w:r>
        <w:rPr>
          <w:color w:val="334155"/>
        </w:rPr>
        <w:t>r_t</w:t>
      </w:r>
      <w:proofErr w:type="spellEnd"/>
      <w:r>
        <w:rPr>
          <w:color w:val="334155"/>
        </w:rPr>
        <w:t xml:space="preserve"> = </w:t>
      </w:r>
      <w:proofErr w:type="gramStart"/>
      <w:r>
        <w:rPr>
          <w:color w:val="334155"/>
        </w:rPr>
        <w:t>ln(</w:t>
      </w:r>
      <w:proofErr w:type="gramEnd"/>
      <w:r>
        <w:rPr>
          <w:color w:val="334155"/>
        </w:rPr>
        <w:t>S_t / S_{t-1}) are independently and identically distributed (</w:t>
      </w:r>
      <w:proofErr w:type="spellStart"/>
      <w:r>
        <w:rPr>
          <w:color w:val="334155"/>
        </w:rPr>
        <w:t>i.i.d.</w:t>
      </w:r>
      <w:proofErr w:type="spellEnd"/>
      <w:r>
        <w:rPr>
          <w:color w:val="334155"/>
        </w:rPr>
        <w:t>) normal random variables with mean (μ - σ²/</w:t>
      </w:r>
      <w:proofErr w:type="gramStart"/>
      <w:r>
        <w:rPr>
          <w:color w:val="334155"/>
        </w:rPr>
        <w:t>2)·</w:t>
      </w:r>
      <w:proofErr w:type="gramEnd"/>
      <w:r>
        <w:rPr>
          <w:color w:val="334155"/>
        </w:rPr>
        <w:t>Δt and variance σ²·Δt. Using 252 trading days per year:</w:t>
      </w:r>
    </w:p>
    <w:p w14:paraId="018EA0FB" w14:textId="347FDA1A" w:rsidR="004E02A1" w:rsidRDefault="00CF7FFE">
      <w:pPr>
        <w:pStyle w:val="ListParagraph"/>
        <w:numPr>
          <w:ilvl w:val="0"/>
          <w:numId w:val="2"/>
        </w:numPr>
        <w:spacing w:after="80"/>
      </w:pPr>
      <w:r>
        <w:rPr>
          <w:color w:val="334155"/>
        </w:rPr>
        <w:lastRenderedPageBreak/>
        <w:t>Annualized</w:t>
      </w:r>
      <w:r w:rsidR="00000000">
        <w:rPr>
          <w:color w:val="334155"/>
        </w:rPr>
        <w:t xml:space="preserve"> drift: </w:t>
      </w:r>
      <w:proofErr w:type="spellStart"/>
      <w:r w:rsidR="00000000">
        <w:rPr>
          <w:color w:val="334155"/>
        </w:rPr>
        <w:t>μ_hat</w:t>
      </w:r>
      <w:proofErr w:type="spellEnd"/>
      <w:r w:rsidR="00000000">
        <w:rPr>
          <w:color w:val="334155"/>
        </w:rPr>
        <w:t xml:space="preserve"> = mean(</w:t>
      </w:r>
      <w:proofErr w:type="spellStart"/>
      <w:r w:rsidR="00000000">
        <w:rPr>
          <w:color w:val="334155"/>
        </w:rPr>
        <w:t>r_t</w:t>
      </w:r>
      <w:proofErr w:type="spellEnd"/>
      <w:r w:rsidR="00000000">
        <w:rPr>
          <w:color w:val="334155"/>
        </w:rPr>
        <w:t>) × 252</w:t>
      </w:r>
    </w:p>
    <w:p w14:paraId="018EA0FC" w14:textId="2B96D4D4" w:rsidR="004E02A1" w:rsidRDefault="00CF7FFE">
      <w:pPr>
        <w:pStyle w:val="ListParagraph"/>
        <w:numPr>
          <w:ilvl w:val="0"/>
          <w:numId w:val="2"/>
        </w:numPr>
        <w:spacing w:after="80"/>
      </w:pPr>
      <w:r>
        <w:rPr>
          <w:color w:val="334155"/>
        </w:rPr>
        <w:t>Annualized</w:t>
      </w:r>
      <w:r w:rsidR="00000000">
        <w:rPr>
          <w:color w:val="334155"/>
        </w:rPr>
        <w:t xml:space="preserve"> volatility: </w:t>
      </w:r>
      <w:proofErr w:type="spellStart"/>
      <w:r w:rsidR="00000000">
        <w:rPr>
          <w:color w:val="334155"/>
        </w:rPr>
        <w:t>σ_hat</w:t>
      </w:r>
      <w:proofErr w:type="spellEnd"/>
      <w:r w:rsidR="00000000">
        <w:rPr>
          <w:color w:val="334155"/>
        </w:rPr>
        <w:t xml:space="preserve"> = std(</w:t>
      </w:r>
      <w:proofErr w:type="spellStart"/>
      <w:r w:rsidR="00000000">
        <w:rPr>
          <w:color w:val="334155"/>
        </w:rPr>
        <w:t>r_t</w:t>
      </w:r>
      <w:proofErr w:type="spellEnd"/>
      <w:r w:rsidR="00000000">
        <w:rPr>
          <w:color w:val="334155"/>
        </w:rPr>
        <w:t>) × √252</w:t>
      </w:r>
    </w:p>
    <w:p w14:paraId="018EA0FD" w14:textId="77777777" w:rsidR="004E02A1" w:rsidRDefault="00000000">
      <w:pPr>
        <w:spacing w:after="120"/>
        <w:jc w:val="both"/>
      </w:pPr>
      <w:r>
        <w:rPr>
          <w:color w:val="334155"/>
        </w:rPr>
        <w:t>Note that the drift estimated from log-returns already incorporates the -σ²/2 correction. When used in the simulation, we therefore add back σ²/2 to obtain the true drift μ.</w:t>
      </w:r>
    </w:p>
    <w:p w14:paraId="018EA0FE" w14:textId="77777777" w:rsidR="004E02A1" w:rsidRDefault="00000000">
      <w:pPr>
        <w:pStyle w:val="Heading2"/>
      </w:pPr>
      <w:r>
        <w:t>2.3 Log-Return Distribution</w:t>
      </w:r>
    </w:p>
    <w:p w14:paraId="018EA0FF" w14:textId="77777777" w:rsidR="004E02A1" w:rsidRDefault="00000000">
      <w:pPr>
        <w:spacing w:after="120"/>
        <w:jc w:val="both"/>
      </w:pPr>
      <w:r>
        <w:rPr>
          <w:color w:val="334155"/>
        </w:rPr>
        <w:t xml:space="preserve">Visual inspection of the log-return histograms reveals that both SNDK and ASML exhibit approximately normal distributions with some evidence of leptokurtosis (fat </w:t>
      </w:r>
      <w:proofErr w:type="gramStart"/>
      <w:r>
        <w:rPr>
          <w:color w:val="334155"/>
        </w:rPr>
        <w:t>tails) —</w:t>
      </w:r>
      <w:proofErr w:type="gramEnd"/>
      <w:r>
        <w:rPr>
          <w:color w:val="334155"/>
        </w:rPr>
        <w:t xml:space="preserve"> a common feature of equity returns. This motivates </w:t>
      </w:r>
      <w:proofErr w:type="gramStart"/>
      <w:r>
        <w:rPr>
          <w:color w:val="334155"/>
        </w:rPr>
        <w:t>the GBM</w:t>
      </w:r>
      <w:proofErr w:type="gramEnd"/>
      <w:r>
        <w:rPr>
          <w:color w:val="334155"/>
        </w:rPr>
        <w:t xml:space="preserve"> approximation while also highlighting one of its key limitations: underestimation of tail events.</w:t>
      </w:r>
    </w:p>
    <w:p w14:paraId="018EA100" w14:textId="77777777" w:rsidR="004E02A1" w:rsidRDefault="004E02A1">
      <w:pPr>
        <w:spacing w:after="120"/>
      </w:pPr>
    </w:p>
    <w:p w14:paraId="018EA101" w14:textId="77777777" w:rsidR="004E02A1" w:rsidRDefault="00000000">
      <w:pPr>
        <w:pStyle w:val="Heading1"/>
        <w:pBdr>
          <w:bottom w:val="single" w:sz="6" w:space="4" w:color="0EA5E9"/>
        </w:pBdr>
      </w:pPr>
      <w:r>
        <w:t>3. Monte Carlo Simulation</w:t>
      </w:r>
    </w:p>
    <w:p w14:paraId="018EA102" w14:textId="5574CF05" w:rsidR="004E02A1" w:rsidRDefault="00000000">
      <w:pPr>
        <w:pStyle w:val="Heading2"/>
      </w:pPr>
      <w:r>
        <w:t xml:space="preserve">3.1 </w:t>
      </w:r>
      <w:r w:rsidR="00CF7FFE">
        <w:t>Discretization</w:t>
      </w:r>
      <w:r>
        <w:t xml:space="preserve"> Scheme</w:t>
      </w:r>
    </w:p>
    <w:p w14:paraId="018EA103" w14:textId="3C52E3D0" w:rsidR="004E02A1" w:rsidRDefault="00000000">
      <w:pPr>
        <w:spacing w:after="120"/>
        <w:jc w:val="both"/>
      </w:pPr>
      <w:r>
        <w:rPr>
          <w:color w:val="334155"/>
        </w:rPr>
        <w:t xml:space="preserve">To simulate price paths numerically, we </w:t>
      </w:r>
      <w:r w:rsidR="00CF7FFE">
        <w:rPr>
          <w:color w:val="334155"/>
        </w:rPr>
        <w:t>discretize</w:t>
      </w:r>
      <w:r>
        <w:rPr>
          <w:color w:val="334155"/>
        </w:rPr>
        <w:t xml:space="preserve"> the closed-form GBM solution over equal daily time steps Δt = T / N:</w:t>
      </w:r>
    </w:p>
    <w:p w14:paraId="018EA104" w14:textId="5D965388" w:rsidR="004E02A1" w:rsidRDefault="00000000">
      <w:pPr>
        <w:spacing w:before="120" w:after="120"/>
      </w:pPr>
      <w:r>
        <w:rPr>
          <w:rFonts w:ascii="Courier New" w:eastAsia="Courier New" w:hAnsi="Courier New" w:cs="Courier New"/>
          <w:b/>
          <w:bCs/>
          <w:color w:val="1F3864"/>
        </w:rPr>
        <w:t xml:space="preserve">     S_{t+Δ</w:t>
      </w:r>
      <w:proofErr w:type="gramStart"/>
      <w:r>
        <w:rPr>
          <w:rFonts w:ascii="Courier New" w:eastAsia="Courier New" w:hAnsi="Courier New" w:cs="Courier New"/>
          <w:b/>
          <w:bCs/>
          <w:color w:val="1F3864"/>
        </w:rPr>
        <w:t>t}  =</w:t>
      </w:r>
      <w:proofErr w:type="gramEnd"/>
      <w:r>
        <w:rPr>
          <w:rFonts w:ascii="Courier New" w:eastAsia="Courier New" w:hAnsi="Courier New" w:cs="Courier New"/>
          <w:b/>
          <w:bCs/>
          <w:color w:val="1F3864"/>
        </w:rPr>
        <w:t xml:space="preserve">  S_t · exp [ (μ - σ²/</w:t>
      </w:r>
      <w:r w:rsidR="006A3A5E">
        <w:rPr>
          <w:rFonts w:ascii="Courier New" w:eastAsia="Courier New" w:hAnsi="Courier New" w:cs="Courier New"/>
          <w:b/>
          <w:bCs/>
          <w:color w:val="1F3864"/>
        </w:rPr>
        <w:t>2) Δ</w:t>
      </w:r>
      <w:proofErr w:type="gramStart"/>
      <w:r>
        <w:rPr>
          <w:rFonts w:ascii="Courier New" w:eastAsia="Courier New" w:hAnsi="Courier New" w:cs="Courier New"/>
          <w:b/>
          <w:bCs/>
          <w:color w:val="1F3864"/>
        </w:rPr>
        <w:t>t  +</w:t>
      </w:r>
      <w:proofErr w:type="gramEnd"/>
      <w:r>
        <w:rPr>
          <w:rFonts w:ascii="Courier New" w:eastAsia="Courier New" w:hAnsi="Courier New" w:cs="Courier New"/>
          <w:b/>
          <w:bCs/>
          <w:color w:val="1F3864"/>
        </w:rPr>
        <w:t xml:space="preserve">  σ√Δt · Z_</w:t>
      </w:r>
      <w:proofErr w:type="gramStart"/>
      <w:r>
        <w:rPr>
          <w:rFonts w:ascii="Courier New" w:eastAsia="Courier New" w:hAnsi="Courier New" w:cs="Courier New"/>
          <w:b/>
          <w:bCs/>
          <w:color w:val="1F3864"/>
        </w:rPr>
        <w:t>t ]</w:t>
      </w:r>
      <w:proofErr w:type="gramEnd"/>
    </w:p>
    <w:p w14:paraId="018EA105" w14:textId="6D651624" w:rsidR="004E02A1" w:rsidRDefault="00000000">
      <w:pPr>
        <w:spacing w:after="120"/>
        <w:jc w:val="both"/>
      </w:pPr>
      <w:r>
        <w:rPr>
          <w:color w:val="334155"/>
        </w:rPr>
        <w:t xml:space="preserve">where Z_t ~ </w:t>
      </w:r>
      <w:r w:rsidR="006A3A5E">
        <w:rPr>
          <w:color w:val="334155"/>
        </w:rPr>
        <w:t>N (</w:t>
      </w:r>
      <w:r>
        <w:rPr>
          <w:color w:val="334155"/>
        </w:rPr>
        <w:t xml:space="preserve">0, 1) is a standard normal shock drawn independently at each time step. Each </w:t>
      </w:r>
      <w:r w:rsidR="00CF7FFE">
        <w:rPr>
          <w:color w:val="334155"/>
        </w:rPr>
        <w:t>realization</w:t>
      </w:r>
      <w:r>
        <w:rPr>
          <w:color w:val="334155"/>
        </w:rPr>
        <w:t xml:space="preserve"> of {Z_t} generates one complete price path.</w:t>
      </w:r>
    </w:p>
    <w:p w14:paraId="018EA106" w14:textId="77777777" w:rsidR="004E02A1" w:rsidRDefault="00000000">
      <w:pPr>
        <w:pStyle w:val="Heading2"/>
      </w:pPr>
      <w:r>
        <w:t>3.2 Simulation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02A1" w14:paraId="018EA109"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1F3864"/>
            <w:tcMar>
              <w:top w:w="80" w:type="dxa"/>
              <w:left w:w="120" w:type="dxa"/>
              <w:bottom w:w="80" w:type="dxa"/>
              <w:right w:w="120" w:type="dxa"/>
            </w:tcMar>
          </w:tcPr>
          <w:p w14:paraId="018EA107" w14:textId="77777777" w:rsidR="004E02A1" w:rsidRDefault="00000000">
            <w:pPr>
              <w:jc w:val="center"/>
            </w:pPr>
            <w:r>
              <w:rPr>
                <w:b/>
                <w:bCs/>
                <w:color w:val="FFFFFF"/>
                <w:sz w:val="20"/>
                <w:szCs w:val="20"/>
              </w:rPr>
              <w:t>Parameter</w:t>
            </w:r>
          </w:p>
        </w:tc>
        <w:tc>
          <w:tcPr>
            <w:tcW w:w="4680" w:type="dxa"/>
            <w:tcBorders>
              <w:top w:val="single" w:sz="1" w:space="0" w:color="CBD5E1"/>
              <w:left w:val="single" w:sz="1" w:space="0" w:color="CBD5E1"/>
              <w:bottom w:val="single" w:sz="1" w:space="0" w:color="CBD5E1"/>
              <w:right w:val="single" w:sz="1" w:space="0" w:color="CBD5E1"/>
            </w:tcBorders>
            <w:shd w:val="clear" w:color="auto" w:fill="1F3864"/>
            <w:tcMar>
              <w:top w:w="80" w:type="dxa"/>
              <w:left w:w="120" w:type="dxa"/>
              <w:bottom w:w="80" w:type="dxa"/>
              <w:right w:w="120" w:type="dxa"/>
            </w:tcMar>
          </w:tcPr>
          <w:p w14:paraId="018EA108" w14:textId="77777777" w:rsidR="004E02A1" w:rsidRDefault="00000000">
            <w:pPr>
              <w:jc w:val="center"/>
            </w:pPr>
            <w:r>
              <w:rPr>
                <w:b/>
                <w:bCs/>
                <w:color w:val="FFFFFF"/>
                <w:sz w:val="20"/>
                <w:szCs w:val="20"/>
              </w:rPr>
              <w:t>Value</w:t>
            </w:r>
          </w:p>
        </w:tc>
      </w:tr>
      <w:tr w:rsidR="004E02A1" w14:paraId="018EA10C"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10A" w14:textId="77777777" w:rsidR="004E02A1" w:rsidRDefault="00000000">
            <w:r>
              <w:rPr>
                <w:color w:val="334155"/>
                <w:sz w:val="20"/>
                <w:szCs w:val="20"/>
              </w:rPr>
              <w:t>Forecast Horizon</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10B" w14:textId="77777777" w:rsidR="004E02A1" w:rsidRDefault="00000000">
            <w:r>
              <w:rPr>
                <w:color w:val="334155"/>
                <w:sz w:val="20"/>
                <w:szCs w:val="20"/>
              </w:rPr>
              <w:t>3 years</w:t>
            </w:r>
          </w:p>
        </w:tc>
      </w:tr>
      <w:tr w:rsidR="004E02A1" w14:paraId="018EA10F"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8EA10D" w14:textId="77777777" w:rsidR="004E02A1" w:rsidRDefault="00000000">
            <w:r>
              <w:rPr>
                <w:color w:val="334155"/>
                <w:sz w:val="20"/>
                <w:szCs w:val="20"/>
              </w:rPr>
              <w:t>Time Steps per Year</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8EA10E" w14:textId="77777777" w:rsidR="004E02A1" w:rsidRDefault="00000000">
            <w:r>
              <w:rPr>
                <w:color w:val="334155"/>
                <w:sz w:val="20"/>
                <w:szCs w:val="20"/>
              </w:rPr>
              <w:t>252 (daily)</w:t>
            </w:r>
          </w:p>
        </w:tc>
      </w:tr>
      <w:tr w:rsidR="004E02A1" w14:paraId="018EA11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110" w14:textId="77777777" w:rsidR="004E02A1" w:rsidRDefault="00000000">
            <w:r>
              <w:rPr>
                <w:color w:val="334155"/>
                <w:sz w:val="20"/>
                <w:szCs w:val="20"/>
              </w:rPr>
              <w:t>Monte Carlo Paths (M)</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111" w14:textId="77777777" w:rsidR="004E02A1" w:rsidRDefault="00000000">
            <w:r>
              <w:rPr>
                <w:color w:val="334155"/>
                <w:sz w:val="20"/>
                <w:szCs w:val="20"/>
              </w:rPr>
              <w:t>500</w:t>
            </w:r>
          </w:p>
        </w:tc>
      </w:tr>
      <w:tr w:rsidR="004E02A1" w14:paraId="018EA115"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8EA113" w14:textId="77777777" w:rsidR="004E02A1" w:rsidRDefault="00000000">
            <w:r>
              <w:rPr>
                <w:color w:val="334155"/>
                <w:sz w:val="20"/>
                <w:szCs w:val="20"/>
              </w:rPr>
              <w:t>Random Seed</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8EA114" w14:textId="77777777" w:rsidR="004E02A1" w:rsidRDefault="00000000">
            <w:r>
              <w:rPr>
                <w:color w:val="334155"/>
                <w:sz w:val="20"/>
                <w:szCs w:val="20"/>
              </w:rPr>
              <w:t>42 (for reproducibility)</w:t>
            </w:r>
          </w:p>
        </w:tc>
      </w:tr>
    </w:tbl>
    <w:p w14:paraId="018EA116" w14:textId="77777777" w:rsidR="004E02A1" w:rsidRDefault="00000000">
      <w:pPr>
        <w:spacing w:before="60" w:after="200"/>
        <w:jc w:val="center"/>
      </w:pPr>
      <w:r>
        <w:rPr>
          <w:i/>
          <w:iCs/>
          <w:color w:val="64748B"/>
          <w:sz w:val="18"/>
          <w:szCs w:val="18"/>
        </w:rPr>
        <w:t>Table 3. Monte Carlo simulation configuration.</w:t>
      </w:r>
    </w:p>
    <w:p w14:paraId="018EA117" w14:textId="77777777" w:rsidR="004E02A1" w:rsidRDefault="00000000">
      <w:pPr>
        <w:pStyle w:val="Heading2"/>
      </w:pPr>
      <w:r>
        <w:t>3.3 Simulation Results</w:t>
      </w:r>
    </w:p>
    <w:p w14:paraId="018EA118" w14:textId="2944E726" w:rsidR="004E02A1" w:rsidRDefault="00000000">
      <w:pPr>
        <w:spacing w:after="120"/>
        <w:jc w:val="both"/>
      </w:pPr>
      <w:r>
        <w:rPr>
          <w:color w:val="334155"/>
        </w:rPr>
        <w:t xml:space="preserve">Running 500 independent simulations for each ticker over a three-year horizon produces a distribution of possible price trajectories. We </w:t>
      </w:r>
      <w:r w:rsidR="00CF7FFE">
        <w:rPr>
          <w:color w:val="334155"/>
        </w:rPr>
        <w:t>summarize</w:t>
      </w:r>
      <w:r>
        <w:rPr>
          <w:color w:val="334155"/>
        </w:rPr>
        <w:t xml:space="preserve"> the output using:</w:t>
      </w:r>
    </w:p>
    <w:p w14:paraId="018EA119" w14:textId="77777777" w:rsidR="004E02A1" w:rsidRDefault="00000000">
      <w:pPr>
        <w:pStyle w:val="ListParagraph"/>
        <w:numPr>
          <w:ilvl w:val="0"/>
          <w:numId w:val="2"/>
        </w:numPr>
        <w:spacing w:after="80"/>
      </w:pPr>
      <w:r>
        <w:rPr>
          <w:color w:val="334155"/>
        </w:rPr>
        <w:t>Median path: the 50th percentile of simulated prices at each time step</w:t>
      </w:r>
    </w:p>
    <w:p w14:paraId="018EA11A" w14:textId="77777777" w:rsidR="004E02A1" w:rsidRDefault="00000000">
      <w:pPr>
        <w:pStyle w:val="ListParagraph"/>
        <w:numPr>
          <w:ilvl w:val="0"/>
          <w:numId w:val="2"/>
        </w:numPr>
        <w:spacing w:after="80"/>
      </w:pPr>
      <w:r>
        <w:rPr>
          <w:color w:val="334155"/>
        </w:rPr>
        <w:t>Confidence band: the region between the 5th and 95th percentile paths</w:t>
      </w:r>
    </w:p>
    <w:p w14:paraId="018EA11B" w14:textId="77777777" w:rsidR="004E02A1" w:rsidRDefault="00000000">
      <w:pPr>
        <w:pStyle w:val="ListParagraph"/>
        <w:numPr>
          <w:ilvl w:val="0"/>
          <w:numId w:val="2"/>
        </w:numPr>
        <w:spacing w:after="80"/>
      </w:pPr>
      <w:r>
        <w:rPr>
          <w:color w:val="334155"/>
        </w:rPr>
        <w:t>Terminal distribution: the cross-sectional distribution of prices at T = 3 years</w:t>
      </w:r>
    </w:p>
    <w:p w14:paraId="018EA11C" w14:textId="77777777" w:rsidR="004E02A1" w:rsidRDefault="00000000">
      <w:pPr>
        <w:spacing w:after="120"/>
        <w:jc w:val="both"/>
      </w:pPr>
      <w:r>
        <w:rPr>
          <w:color w:val="334155"/>
        </w:rPr>
        <w:t>The higher historical volatility of SNDK produces a wider fan of paths and a heavier-tailed terminal distribution compared to ASML, reflecting the greater uncertainty in flash storage market dynamics versus the semiconductor equipment sector.</w:t>
      </w:r>
    </w:p>
    <w:p w14:paraId="018EA11D" w14:textId="77777777" w:rsidR="004E02A1" w:rsidRDefault="004E02A1">
      <w:pPr>
        <w:spacing w:after="120"/>
      </w:pPr>
    </w:p>
    <w:p w14:paraId="018EA11E" w14:textId="77777777" w:rsidR="004E02A1" w:rsidRDefault="00000000">
      <w:pPr>
        <w:pStyle w:val="Heading1"/>
        <w:pBdr>
          <w:bottom w:val="single" w:sz="6" w:space="4" w:color="0EA5E9"/>
        </w:pBdr>
      </w:pPr>
      <w:r>
        <w:lastRenderedPageBreak/>
        <w:t>4. Black-Scholes Option Pricing</w:t>
      </w:r>
    </w:p>
    <w:p w14:paraId="018EA11F" w14:textId="77777777" w:rsidR="004E02A1" w:rsidRDefault="00000000">
      <w:pPr>
        <w:pStyle w:val="Heading2"/>
      </w:pPr>
      <w:r>
        <w:t>4.1 The Black-Scholes-Merton Model</w:t>
      </w:r>
    </w:p>
    <w:p w14:paraId="018EA120" w14:textId="77777777" w:rsidR="004E02A1" w:rsidRDefault="00000000">
      <w:pPr>
        <w:spacing w:after="120"/>
        <w:jc w:val="both"/>
      </w:pPr>
      <w:r>
        <w:rPr>
          <w:color w:val="334155"/>
        </w:rPr>
        <w:t>The Black-Scholes-Merton (BSM) model assumes the underlying stock follows GBM under the risk-neutral measure. Under this framework, arbitrage-free pricing gives a closed-form formula for European call options:</w:t>
      </w:r>
    </w:p>
    <w:p w14:paraId="018EA121" w14:textId="47B9ACC6" w:rsidR="004E02A1" w:rsidRDefault="00000000">
      <w:pPr>
        <w:spacing w:before="120" w:after="80"/>
      </w:pPr>
      <w:r>
        <w:rPr>
          <w:rFonts w:ascii="Courier New" w:eastAsia="Courier New" w:hAnsi="Courier New" w:cs="Courier New"/>
          <w:b/>
          <w:bCs/>
          <w:color w:val="1F3864"/>
        </w:rPr>
        <w:t xml:space="preserve">     </w:t>
      </w:r>
      <w:r w:rsidR="00DA38D4">
        <w:rPr>
          <w:rFonts w:ascii="Courier New" w:eastAsia="Courier New" w:hAnsi="Courier New" w:cs="Courier New"/>
          <w:b/>
          <w:bCs/>
          <w:color w:val="1F3864"/>
        </w:rPr>
        <w:t xml:space="preserve">C = </w:t>
      </w:r>
      <w:r w:rsidR="00116EBC">
        <w:rPr>
          <w:color w:val="334155"/>
          <w:sz w:val="20"/>
          <w:szCs w:val="20"/>
        </w:rPr>
        <w:t>S₀</w:t>
      </w:r>
      <w:r>
        <w:rPr>
          <w:rFonts w:ascii="Courier New" w:eastAsia="Courier New" w:hAnsi="Courier New" w:cs="Courier New"/>
          <w:b/>
          <w:bCs/>
          <w:color w:val="1F3864"/>
        </w:rPr>
        <w:t xml:space="preserve"> · Φ(d+</w:t>
      </w:r>
      <w:r w:rsidR="00DA38D4">
        <w:rPr>
          <w:rFonts w:ascii="Courier New" w:eastAsia="Courier New" w:hAnsi="Courier New" w:cs="Courier New"/>
          <w:b/>
          <w:bCs/>
          <w:color w:val="1F3864"/>
        </w:rPr>
        <w:t>) -</w:t>
      </w:r>
      <w:r>
        <w:rPr>
          <w:rFonts w:ascii="Courier New" w:eastAsia="Courier New" w:hAnsi="Courier New" w:cs="Courier New"/>
          <w:b/>
          <w:bCs/>
          <w:color w:val="1F3864"/>
        </w:rPr>
        <w:t xml:space="preserve"> K · e^(-rT) · Φ(d-)</w:t>
      </w:r>
    </w:p>
    <w:p w14:paraId="018EA122" w14:textId="15BC60DA" w:rsidR="004E02A1" w:rsidRDefault="00000000">
      <w:pPr>
        <w:spacing w:after="120"/>
      </w:pPr>
      <w:r>
        <w:rPr>
          <w:rFonts w:ascii="Courier New" w:eastAsia="Courier New" w:hAnsi="Courier New" w:cs="Courier New"/>
          <w:color w:val="334155"/>
        </w:rPr>
        <w:t xml:space="preserve">     d</w:t>
      </w:r>
      <w:r w:rsidR="00DA38D4">
        <w:rPr>
          <w:rFonts w:ascii="Courier New" w:eastAsia="Courier New" w:hAnsi="Courier New" w:cs="Courier New"/>
          <w:color w:val="334155"/>
        </w:rPr>
        <w:t>± = [</w:t>
      </w:r>
      <w:r>
        <w:rPr>
          <w:rFonts w:ascii="Courier New" w:eastAsia="Courier New" w:hAnsi="Courier New" w:cs="Courier New"/>
          <w:color w:val="334155"/>
        </w:rPr>
        <w:t xml:space="preserve"> ln(S₀/K) + (r ± σ²/</w:t>
      </w:r>
      <w:r w:rsidR="00DA38D4">
        <w:rPr>
          <w:rFonts w:ascii="Courier New" w:eastAsia="Courier New" w:hAnsi="Courier New" w:cs="Courier New"/>
          <w:color w:val="334155"/>
        </w:rPr>
        <w:t>2) ·</w:t>
      </w:r>
      <w:proofErr w:type="gramStart"/>
      <w:r>
        <w:rPr>
          <w:rFonts w:ascii="Courier New" w:eastAsia="Courier New" w:hAnsi="Courier New" w:cs="Courier New"/>
          <w:color w:val="334155"/>
        </w:rPr>
        <w:t>T ]</w:t>
      </w:r>
      <w:proofErr w:type="gramEnd"/>
      <w:r>
        <w:rPr>
          <w:rFonts w:ascii="Courier New" w:eastAsia="Courier New" w:hAnsi="Courier New" w:cs="Courier New"/>
          <w:color w:val="334155"/>
        </w:rPr>
        <w:t xml:space="preserve"> / (σ√T)</w:t>
      </w:r>
    </w:p>
    <w:p w14:paraId="018EA123" w14:textId="77777777" w:rsidR="004E02A1" w:rsidRDefault="00000000">
      <w:pPr>
        <w:pStyle w:val="Heading2"/>
      </w:pPr>
      <w:r>
        <w:t>4.2 BSM Variable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520"/>
        <w:gridCol w:w="5400"/>
      </w:tblGrid>
      <w:tr w:rsidR="004E02A1" w14:paraId="018EA127" w14:textId="77777777">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1F3864"/>
            <w:tcMar>
              <w:top w:w="80" w:type="dxa"/>
              <w:left w:w="120" w:type="dxa"/>
              <w:bottom w:w="80" w:type="dxa"/>
              <w:right w:w="120" w:type="dxa"/>
            </w:tcMar>
          </w:tcPr>
          <w:p w14:paraId="018EA124" w14:textId="77777777" w:rsidR="004E02A1" w:rsidRDefault="00000000">
            <w:pPr>
              <w:jc w:val="center"/>
            </w:pPr>
            <w:r>
              <w:rPr>
                <w:b/>
                <w:bCs/>
                <w:color w:val="FFFFFF"/>
                <w:sz w:val="20"/>
                <w:szCs w:val="20"/>
              </w:rPr>
              <w:t>Symbol</w:t>
            </w:r>
          </w:p>
        </w:tc>
        <w:tc>
          <w:tcPr>
            <w:tcW w:w="2520" w:type="dxa"/>
            <w:tcBorders>
              <w:top w:val="single" w:sz="1" w:space="0" w:color="CBD5E1"/>
              <w:left w:val="single" w:sz="1" w:space="0" w:color="CBD5E1"/>
              <w:bottom w:val="single" w:sz="1" w:space="0" w:color="CBD5E1"/>
              <w:right w:val="single" w:sz="1" w:space="0" w:color="CBD5E1"/>
            </w:tcBorders>
            <w:shd w:val="clear" w:color="auto" w:fill="1F3864"/>
            <w:tcMar>
              <w:top w:w="80" w:type="dxa"/>
              <w:left w:w="120" w:type="dxa"/>
              <w:bottom w:w="80" w:type="dxa"/>
              <w:right w:w="120" w:type="dxa"/>
            </w:tcMar>
          </w:tcPr>
          <w:p w14:paraId="018EA125" w14:textId="77777777" w:rsidR="004E02A1" w:rsidRDefault="00000000">
            <w:pPr>
              <w:jc w:val="center"/>
            </w:pPr>
            <w:r>
              <w:rPr>
                <w:b/>
                <w:bCs/>
                <w:color w:val="FFFFFF"/>
                <w:sz w:val="20"/>
                <w:szCs w:val="20"/>
              </w:rPr>
              <w:t>Name</w:t>
            </w:r>
          </w:p>
        </w:tc>
        <w:tc>
          <w:tcPr>
            <w:tcW w:w="5400" w:type="dxa"/>
            <w:tcBorders>
              <w:top w:val="single" w:sz="1" w:space="0" w:color="CBD5E1"/>
              <w:left w:val="single" w:sz="1" w:space="0" w:color="CBD5E1"/>
              <w:bottom w:val="single" w:sz="1" w:space="0" w:color="CBD5E1"/>
              <w:right w:val="single" w:sz="1" w:space="0" w:color="CBD5E1"/>
            </w:tcBorders>
            <w:shd w:val="clear" w:color="auto" w:fill="1F3864"/>
            <w:tcMar>
              <w:top w:w="80" w:type="dxa"/>
              <w:left w:w="120" w:type="dxa"/>
              <w:bottom w:w="80" w:type="dxa"/>
              <w:right w:w="120" w:type="dxa"/>
            </w:tcMar>
          </w:tcPr>
          <w:p w14:paraId="018EA126" w14:textId="77777777" w:rsidR="004E02A1" w:rsidRDefault="00000000">
            <w:pPr>
              <w:jc w:val="center"/>
            </w:pPr>
            <w:r>
              <w:rPr>
                <w:b/>
                <w:bCs/>
                <w:color w:val="FFFFFF"/>
                <w:sz w:val="20"/>
                <w:szCs w:val="20"/>
              </w:rPr>
              <w:t>Description</w:t>
            </w:r>
          </w:p>
        </w:tc>
      </w:tr>
      <w:tr w:rsidR="004E02A1" w14:paraId="018EA12B" w14:textId="77777777">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128" w14:textId="77777777" w:rsidR="004E02A1" w:rsidRDefault="00000000">
            <w:r>
              <w:rPr>
                <w:color w:val="334155"/>
                <w:sz w:val="20"/>
                <w:szCs w:val="20"/>
              </w:rPr>
              <w:t>S₀</w:t>
            </w:r>
          </w:p>
        </w:tc>
        <w:tc>
          <w:tcPr>
            <w:tcW w:w="25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129" w14:textId="77777777" w:rsidR="004E02A1" w:rsidRDefault="00000000">
            <w:r>
              <w:rPr>
                <w:color w:val="334155"/>
                <w:sz w:val="20"/>
                <w:szCs w:val="20"/>
              </w:rPr>
              <w:t>Spot Price</w:t>
            </w:r>
          </w:p>
        </w:tc>
        <w:tc>
          <w:tcPr>
            <w:tcW w:w="5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12A" w14:textId="77777777" w:rsidR="004E02A1" w:rsidRDefault="00000000">
            <w:r>
              <w:rPr>
                <w:color w:val="334155"/>
                <w:sz w:val="20"/>
                <w:szCs w:val="20"/>
              </w:rPr>
              <w:t>Current market price of the underlying stock</w:t>
            </w:r>
          </w:p>
        </w:tc>
      </w:tr>
      <w:tr w:rsidR="004E02A1" w14:paraId="018EA12F" w14:textId="77777777">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8EA12C" w14:textId="77777777" w:rsidR="004E02A1" w:rsidRDefault="00000000">
            <w:r>
              <w:rPr>
                <w:color w:val="334155"/>
                <w:sz w:val="20"/>
                <w:szCs w:val="20"/>
              </w:rPr>
              <w:t>K</w:t>
            </w:r>
          </w:p>
        </w:tc>
        <w:tc>
          <w:tcPr>
            <w:tcW w:w="25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8EA12D" w14:textId="77777777" w:rsidR="004E02A1" w:rsidRDefault="00000000">
            <w:r>
              <w:rPr>
                <w:color w:val="334155"/>
                <w:sz w:val="20"/>
                <w:szCs w:val="20"/>
              </w:rPr>
              <w:t>Strike Price</w:t>
            </w:r>
          </w:p>
        </w:tc>
        <w:tc>
          <w:tcPr>
            <w:tcW w:w="5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8EA12E" w14:textId="77777777" w:rsidR="004E02A1" w:rsidRDefault="00000000">
            <w:r>
              <w:rPr>
                <w:color w:val="334155"/>
                <w:sz w:val="20"/>
                <w:szCs w:val="20"/>
              </w:rPr>
              <w:t>Price at which the option holder may buy the stock</w:t>
            </w:r>
          </w:p>
        </w:tc>
      </w:tr>
      <w:tr w:rsidR="004E02A1" w14:paraId="018EA133" w14:textId="77777777">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130" w14:textId="77777777" w:rsidR="004E02A1" w:rsidRDefault="00000000">
            <w:r>
              <w:rPr>
                <w:color w:val="334155"/>
                <w:sz w:val="20"/>
                <w:szCs w:val="20"/>
              </w:rPr>
              <w:t>r</w:t>
            </w:r>
          </w:p>
        </w:tc>
        <w:tc>
          <w:tcPr>
            <w:tcW w:w="25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131" w14:textId="77777777" w:rsidR="004E02A1" w:rsidRDefault="00000000">
            <w:r>
              <w:rPr>
                <w:color w:val="334155"/>
                <w:sz w:val="20"/>
                <w:szCs w:val="20"/>
              </w:rPr>
              <w:t>Risk-Free Rate</w:t>
            </w:r>
          </w:p>
        </w:tc>
        <w:tc>
          <w:tcPr>
            <w:tcW w:w="5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132" w14:textId="2E9629D6" w:rsidR="004E02A1" w:rsidRDefault="00CF7FFE">
            <w:r>
              <w:rPr>
                <w:color w:val="334155"/>
                <w:sz w:val="20"/>
                <w:szCs w:val="20"/>
              </w:rPr>
              <w:t>Annualized</w:t>
            </w:r>
            <w:r w:rsidR="00000000">
              <w:rPr>
                <w:color w:val="334155"/>
                <w:sz w:val="20"/>
                <w:szCs w:val="20"/>
              </w:rPr>
              <w:t xml:space="preserve"> return on a risk-free asset (e.g.</w:t>
            </w:r>
            <w:r w:rsidR="00116EBC">
              <w:rPr>
                <w:color w:val="334155"/>
                <w:sz w:val="20"/>
                <w:szCs w:val="20"/>
              </w:rPr>
              <w:t>,</w:t>
            </w:r>
            <w:r w:rsidR="00000000">
              <w:rPr>
                <w:color w:val="334155"/>
                <w:sz w:val="20"/>
                <w:szCs w:val="20"/>
              </w:rPr>
              <w:t xml:space="preserve"> US T-bills)</w:t>
            </w:r>
          </w:p>
        </w:tc>
      </w:tr>
      <w:tr w:rsidR="004E02A1" w14:paraId="018EA137" w14:textId="77777777">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8EA134" w14:textId="77777777" w:rsidR="004E02A1" w:rsidRDefault="00000000">
            <w:r>
              <w:rPr>
                <w:color w:val="334155"/>
                <w:sz w:val="20"/>
                <w:szCs w:val="20"/>
              </w:rPr>
              <w:t>σ</w:t>
            </w:r>
          </w:p>
        </w:tc>
        <w:tc>
          <w:tcPr>
            <w:tcW w:w="25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8EA135" w14:textId="77777777" w:rsidR="004E02A1" w:rsidRDefault="00000000">
            <w:r>
              <w:rPr>
                <w:color w:val="334155"/>
                <w:sz w:val="20"/>
                <w:szCs w:val="20"/>
              </w:rPr>
              <w:t>Volatility</w:t>
            </w:r>
          </w:p>
        </w:tc>
        <w:tc>
          <w:tcPr>
            <w:tcW w:w="5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8EA136" w14:textId="611A0B5F" w:rsidR="004E02A1" w:rsidRDefault="00CF7FFE">
            <w:r>
              <w:rPr>
                <w:color w:val="334155"/>
                <w:sz w:val="20"/>
                <w:szCs w:val="20"/>
              </w:rPr>
              <w:t>Annualized</w:t>
            </w:r>
            <w:r w:rsidR="00000000">
              <w:rPr>
                <w:color w:val="334155"/>
                <w:sz w:val="20"/>
                <w:szCs w:val="20"/>
              </w:rPr>
              <w:t xml:space="preserve"> standard deviation of log-returns</w:t>
            </w:r>
          </w:p>
        </w:tc>
      </w:tr>
      <w:tr w:rsidR="004E02A1" w14:paraId="018EA13B" w14:textId="77777777">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138" w14:textId="77777777" w:rsidR="004E02A1" w:rsidRDefault="00000000">
            <w:r>
              <w:rPr>
                <w:color w:val="334155"/>
                <w:sz w:val="20"/>
                <w:szCs w:val="20"/>
              </w:rPr>
              <w:t>T</w:t>
            </w:r>
          </w:p>
        </w:tc>
        <w:tc>
          <w:tcPr>
            <w:tcW w:w="25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139" w14:textId="77777777" w:rsidR="004E02A1" w:rsidRDefault="00000000">
            <w:r>
              <w:rPr>
                <w:color w:val="334155"/>
                <w:sz w:val="20"/>
                <w:szCs w:val="20"/>
              </w:rPr>
              <w:t>Time to Expiry</w:t>
            </w:r>
          </w:p>
        </w:tc>
        <w:tc>
          <w:tcPr>
            <w:tcW w:w="5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13A" w14:textId="77777777" w:rsidR="004E02A1" w:rsidRDefault="00000000">
            <w:r>
              <w:rPr>
                <w:color w:val="334155"/>
                <w:sz w:val="20"/>
                <w:szCs w:val="20"/>
              </w:rPr>
              <w:t>Remaining life of the option in years</w:t>
            </w:r>
          </w:p>
        </w:tc>
      </w:tr>
      <w:tr w:rsidR="004E02A1" w14:paraId="018EA13F" w14:textId="77777777">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8EA13C" w14:textId="77777777" w:rsidR="004E02A1" w:rsidRDefault="00000000">
            <w:r>
              <w:rPr>
                <w:color w:val="334155"/>
                <w:sz w:val="20"/>
                <w:szCs w:val="20"/>
              </w:rPr>
              <w:t>Φ</w:t>
            </w:r>
          </w:p>
        </w:tc>
        <w:tc>
          <w:tcPr>
            <w:tcW w:w="25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8EA13D" w14:textId="77777777" w:rsidR="004E02A1" w:rsidRDefault="00000000">
            <w:r>
              <w:rPr>
                <w:color w:val="334155"/>
                <w:sz w:val="20"/>
                <w:szCs w:val="20"/>
              </w:rPr>
              <w:t>Normal CDF</w:t>
            </w:r>
          </w:p>
        </w:tc>
        <w:tc>
          <w:tcPr>
            <w:tcW w:w="5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8EA13E" w14:textId="77777777" w:rsidR="004E02A1" w:rsidRDefault="00000000">
            <w:r>
              <w:rPr>
                <w:color w:val="334155"/>
                <w:sz w:val="20"/>
                <w:szCs w:val="20"/>
              </w:rPr>
              <w:t xml:space="preserve">Cumulative distribution function of </w:t>
            </w:r>
            <w:proofErr w:type="gramStart"/>
            <w:r>
              <w:rPr>
                <w:color w:val="334155"/>
                <w:sz w:val="20"/>
                <w:szCs w:val="20"/>
              </w:rPr>
              <w:t>N(</w:t>
            </w:r>
            <w:proofErr w:type="gramEnd"/>
            <w:r>
              <w:rPr>
                <w:color w:val="334155"/>
                <w:sz w:val="20"/>
                <w:szCs w:val="20"/>
              </w:rPr>
              <w:t>0,1)</w:t>
            </w:r>
          </w:p>
        </w:tc>
      </w:tr>
    </w:tbl>
    <w:p w14:paraId="018EA140" w14:textId="77777777" w:rsidR="004E02A1" w:rsidRDefault="00000000">
      <w:pPr>
        <w:spacing w:before="60" w:after="200"/>
        <w:jc w:val="center"/>
      </w:pPr>
      <w:r>
        <w:rPr>
          <w:i/>
          <w:iCs/>
          <w:color w:val="64748B"/>
          <w:sz w:val="18"/>
          <w:szCs w:val="18"/>
        </w:rPr>
        <w:t>Table 4. Black-Scholes-Merton model parameters.</w:t>
      </w:r>
    </w:p>
    <w:p w14:paraId="018EA141" w14:textId="77777777" w:rsidR="004E02A1" w:rsidRDefault="00000000">
      <w:pPr>
        <w:pStyle w:val="Heading2"/>
      </w:pPr>
      <w:r>
        <w:t>4.3 Key Insight: The Role of Volatility</w:t>
      </w:r>
    </w:p>
    <w:p w14:paraId="018EA142" w14:textId="77777777" w:rsidR="004E02A1" w:rsidRDefault="00000000">
      <w:pPr>
        <w:spacing w:after="120"/>
        <w:jc w:val="both"/>
      </w:pPr>
      <w:r>
        <w:rPr>
          <w:color w:val="334155"/>
        </w:rPr>
        <w:t>Option prices are monotonically increasing in volatility. Higher volatility stocks (like SNDK) therefore command higher option premiums because the probability of the option finishing deep in-the-money is greater. This is the fundamental reason why volatility is the primary driver of option pricing in the BSM framework.</w:t>
      </w:r>
    </w:p>
    <w:p w14:paraId="018EA143" w14:textId="77777777" w:rsidR="004E02A1" w:rsidRDefault="00000000">
      <w:pPr>
        <w:pStyle w:val="Heading2"/>
      </w:pPr>
      <w:r>
        <w:t>4.4 Option Greeks</w:t>
      </w:r>
    </w:p>
    <w:p w14:paraId="018EA144" w14:textId="77777777" w:rsidR="004E02A1" w:rsidRDefault="00000000">
      <w:pPr>
        <w:spacing w:after="120"/>
        <w:jc w:val="both"/>
      </w:pPr>
      <w:r>
        <w:rPr>
          <w:color w:val="334155"/>
        </w:rPr>
        <w:t>The BSM formula yields the Delta Greek analytically: Δ = Φ(d+). Delta represents the rate of change of the call price with respect to the underlying stock price and is used for delta-hedging — constructing a portfolio of stock and options that is instantaneously immune to small price movements.</w:t>
      </w:r>
    </w:p>
    <w:p w14:paraId="018EA145" w14:textId="77777777" w:rsidR="004E02A1" w:rsidRDefault="004E02A1">
      <w:pPr>
        <w:spacing w:after="120"/>
      </w:pPr>
    </w:p>
    <w:p w14:paraId="018EA146" w14:textId="77777777" w:rsidR="004E02A1" w:rsidRDefault="00000000">
      <w:pPr>
        <w:pStyle w:val="Heading1"/>
        <w:pBdr>
          <w:bottom w:val="single" w:sz="6" w:space="4" w:color="0EA5E9"/>
        </w:pBdr>
      </w:pPr>
      <w:r>
        <w:t>5. Comparative Analysis: SNDK vs ASML</w:t>
      </w:r>
    </w:p>
    <w:p w14:paraId="018EA147" w14:textId="77777777" w:rsidR="004E02A1" w:rsidRDefault="00000000">
      <w:pPr>
        <w:pStyle w:val="Heading2"/>
      </w:pPr>
      <w:r>
        <w:t>5.1 Risk-Return Profile</w:t>
      </w:r>
    </w:p>
    <w:p w14:paraId="018EA148" w14:textId="77777777" w:rsidR="004E02A1" w:rsidRDefault="00000000">
      <w:pPr>
        <w:spacing w:after="120"/>
        <w:jc w:val="both"/>
      </w:pPr>
      <w:r>
        <w:rPr>
          <w:color w:val="334155"/>
        </w:rPr>
        <w:t>The two tickers represent contrasting risk profiles within the technology sector:</w:t>
      </w:r>
    </w:p>
    <w:p w14:paraId="018EA149" w14:textId="4DBE656B" w:rsidR="004E02A1" w:rsidRDefault="00000000">
      <w:pPr>
        <w:pStyle w:val="ListParagraph"/>
        <w:numPr>
          <w:ilvl w:val="0"/>
          <w:numId w:val="2"/>
        </w:numPr>
        <w:spacing w:after="80"/>
      </w:pPr>
      <w:r>
        <w:rPr>
          <w:color w:val="334155"/>
        </w:rPr>
        <w:t xml:space="preserve">SNDK (SanDisk): Operated in the </w:t>
      </w:r>
      <w:r w:rsidR="00CF7FFE">
        <w:rPr>
          <w:color w:val="334155"/>
        </w:rPr>
        <w:t>commoditized</w:t>
      </w:r>
      <w:r>
        <w:rPr>
          <w:color w:val="334155"/>
        </w:rPr>
        <w:t xml:space="preserve"> NAND flash storage market, subject to aggressive pricing cycles and competition. This is reflected in elevated historical volatility.</w:t>
      </w:r>
    </w:p>
    <w:p w14:paraId="018EA14A" w14:textId="7D250837" w:rsidR="004E02A1" w:rsidRDefault="00000000">
      <w:pPr>
        <w:pStyle w:val="ListParagraph"/>
        <w:numPr>
          <w:ilvl w:val="0"/>
          <w:numId w:val="2"/>
        </w:numPr>
        <w:spacing w:after="80"/>
      </w:pPr>
      <w:r>
        <w:rPr>
          <w:color w:val="334155"/>
        </w:rPr>
        <w:lastRenderedPageBreak/>
        <w:t>ASML: Holds a near-monopoly on extreme ultraviolet (EUV) lithography, the critical technology enabling sub-10</w:t>
      </w:r>
      <w:proofErr w:type="gramStart"/>
      <w:r>
        <w:rPr>
          <w:color w:val="334155"/>
        </w:rPr>
        <w:t>nm</w:t>
      </w:r>
      <w:proofErr w:type="gramEnd"/>
      <w:r>
        <w:rPr>
          <w:color w:val="334155"/>
        </w:rPr>
        <w:t xml:space="preserve"> semiconductor manufacturing. Strong pricing power and secular demand growth from AI/data </w:t>
      </w:r>
      <w:r w:rsidR="00CD2603">
        <w:rPr>
          <w:color w:val="334155"/>
        </w:rPr>
        <w:t>center</w:t>
      </w:r>
      <w:r>
        <w:rPr>
          <w:color w:val="334155"/>
        </w:rPr>
        <w:t xml:space="preserve"> buildout support consistent returns.</w:t>
      </w:r>
    </w:p>
    <w:p w14:paraId="018EA14B" w14:textId="77777777" w:rsidR="004E02A1" w:rsidRDefault="00000000">
      <w:pPr>
        <w:pStyle w:val="Heading2"/>
      </w:pPr>
      <w:r>
        <w:t>5.2 Three-Year Forecast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580"/>
        <w:gridCol w:w="2580"/>
      </w:tblGrid>
      <w:tr w:rsidR="004E02A1" w14:paraId="018EA14F" w14:textId="77777777">
        <w:tblPrEx>
          <w:tblCellMar>
            <w:top w:w="0" w:type="dxa"/>
            <w:bottom w:w="0" w:type="dxa"/>
          </w:tblCellMar>
        </w:tblPrEx>
        <w:tc>
          <w:tcPr>
            <w:tcW w:w="4200" w:type="dxa"/>
            <w:tcBorders>
              <w:top w:val="single" w:sz="1" w:space="0" w:color="CBD5E1"/>
              <w:left w:val="single" w:sz="1" w:space="0" w:color="CBD5E1"/>
              <w:bottom w:val="single" w:sz="1" w:space="0" w:color="CBD5E1"/>
              <w:right w:val="single" w:sz="1" w:space="0" w:color="CBD5E1"/>
            </w:tcBorders>
            <w:shd w:val="clear" w:color="auto" w:fill="1F3864"/>
            <w:tcMar>
              <w:top w:w="80" w:type="dxa"/>
              <w:left w:w="120" w:type="dxa"/>
              <w:bottom w:w="80" w:type="dxa"/>
              <w:right w:w="120" w:type="dxa"/>
            </w:tcMar>
          </w:tcPr>
          <w:p w14:paraId="018EA14C" w14:textId="77777777" w:rsidR="004E02A1" w:rsidRDefault="00000000">
            <w:pPr>
              <w:jc w:val="center"/>
            </w:pPr>
            <w:r>
              <w:rPr>
                <w:b/>
                <w:bCs/>
                <w:color w:val="FFFFFF"/>
                <w:sz w:val="20"/>
                <w:szCs w:val="20"/>
              </w:rPr>
              <w:t>Metric</w:t>
            </w:r>
          </w:p>
        </w:tc>
        <w:tc>
          <w:tcPr>
            <w:tcW w:w="2580" w:type="dxa"/>
            <w:tcBorders>
              <w:top w:val="single" w:sz="1" w:space="0" w:color="CBD5E1"/>
              <w:left w:val="single" w:sz="1" w:space="0" w:color="CBD5E1"/>
              <w:bottom w:val="single" w:sz="1" w:space="0" w:color="CBD5E1"/>
              <w:right w:val="single" w:sz="1" w:space="0" w:color="CBD5E1"/>
            </w:tcBorders>
            <w:shd w:val="clear" w:color="auto" w:fill="1F3864"/>
            <w:tcMar>
              <w:top w:w="80" w:type="dxa"/>
              <w:left w:w="120" w:type="dxa"/>
              <w:bottom w:w="80" w:type="dxa"/>
              <w:right w:w="120" w:type="dxa"/>
            </w:tcMar>
          </w:tcPr>
          <w:p w14:paraId="018EA14D" w14:textId="77777777" w:rsidR="004E02A1" w:rsidRDefault="00000000">
            <w:pPr>
              <w:jc w:val="center"/>
            </w:pPr>
            <w:r>
              <w:rPr>
                <w:b/>
                <w:bCs/>
                <w:color w:val="FFFFFF"/>
                <w:sz w:val="20"/>
                <w:szCs w:val="20"/>
              </w:rPr>
              <w:t>SNDK</w:t>
            </w:r>
          </w:p>
        </w:tc>
        <w:tc>
          <w:tcPr>
            <w:tcW w:w="2580" w:type="dxa"/>
            <w:tcBorders>
              <w:top w:val="single" w:sz="1" w:space="0" w:color="CBD5E1"/>
              <w:left w:val="single" w:sz="1" w:space="0" w:color="CBD5E1"/>
              <w:bottom w:val="single" w:sz="1" w:space="0" w:color="CBD5E1"/>
              <w:right w:val="single" w:sz="1" w:space="0" w:color="CBD5E1"/>
            </w:tcBorders>
            <w:shd w:val="clear" w:color="auto" w:fill="1F3864"/>
            <w:tcMar>
              <w:top w:w="80" w:type="dxa"/>
              <w:left w:w="120" w:type="dxa"/>
              <w:bottom w:w="80" w:type="dxa"/>
              <w:right w:w="120" w:type="dxa"/>
            </w:tcMar>
          </w:tcPr>
          <w:p w14:paraId="018EA14E" w14:textId="77777777" w:rsidR="004E02A1" w:rsidRDefault="00000000">
            <w:pPr>
              <w:jc w:val="center"/>
            </w:pPr>
            <w:r>
              <w:rPr>
                <w:b/>
                <w:bCs/>
                <w:color w:val="FFFFFF"/>
                <w:sz w:val="20"/>
                <w:szCs w:val="20"/>
              </w:rPr>
              <w:t>ASML</w:t>
            </w:r>
          </w:p>
        </w:tc>
      </w:tr>
      <w:tr w:rsidR="004E02A1" w14:paraId="018EA153" w14:textId="77777777">
        <w:tblPrEx>
          <w:tblCellMar>
            <w:top w:w="0" w:type="dxa"/>
            <w:bottom w:w="0" w:type="dxa"/>
          </w:tblCellMar>
        </w:tblPrEx>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150" w14:textId="2BF49410" w:rsidR="004E02A1" w:rsidRDefault="00CD2603">
            <w:r>
              <w:rPr>
                <w:color w:val="334155"/>
                <w:sz w:val="20"/>
                <w:szCs w:val="20"/>
              </w:rPr>
              <w:t>Annualized</w:t>
            </w:r>
            <w:r w:rsidR="00000000">
              <w:rPr>
                <w:color w:val="334155"/>
                <w:sz w:val="20"/>
                <w:szCs w:val="20"/>
              </w:rPr>
              <w:t xml:space="preserve"> Drift (μ)</w:t>
            </w:r>
          </w:p>
        </w:tc>
        <w:tc>
          <w:tcPr>
            <w:tcW w:w="25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151" w14:textId="77777777" w:rsidR="004E02A1" w:rsidRDefault="00000000">
            <w:r>
              <w:rPr>
                <w:color w:val="334155"/>
                <w:sz w:val="20"/>
                <w:szCs w:val="20"/>
              </w:rPr>
              <w:t>From historical data</w:t>
            </w:r>
          </w:p>
        </w:tc>
        <w:tc>
          <w:tcPr>
            <w:tcW w:w="25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152" w14:textId="77777777" w:rsidR="004E02A1" w:rsidRDefault="00000000">
            <w:r>
              <w:rPr>
                <w:color w:val="334155"/>
                <w:sz w:val="20"/>
                <w:szCs w:val="20"/>
              </w:rPr>
              <w:t>From historical data</w:t>
            </w:r>
          </w:p>
        </w:tc>
      </w:tr>
      <w:tr w:rsidR="004E02A1" w14:paraId="018EA157" w14:textId="77777777">
        <w:tblPrEx>
          <w:tblCellMar>
            <w:top w:w="0" w:type="dxa"/>
            <w:bottom w:w="0" w:type="dxa"/>
          </w:tblCellMar>
        </w:tblPrEx>
        <w:tc>
          <w:tcPr>
            <w:tcW w:w="4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8EA154" w14:textId="2F1A4019" w:rsidR="004E02A1" w:rsidRDefault="00CD2603">
            <w:r>
              <w:rPr>
                <w:color w:val="334155"/>
                <w:sz w:val="20"/>
                <w:szCs w:val="20"/>
              </w:rPr>
              <w:t>Annualized</w:t>
            </w:r>
            <w:r w:rsidR="00000000">
              <w:rPr>
                <w:color w:val="334155"/>
                <w:sz w:val="20"/>
                <w:szCs w:val="20"/>
              </w:rPr>
              <w:t xml:space="preserve"> Volatility (σ)</w:t>
            </w:r>
          </w:p>
        </w:tc>
        <w:tc>
          <w:tcPr>
            <w:tcW w:w="25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8EA155" w14:textId="77777777" w:rsidR="004E02A1" w:rsidRDefault="00000000">
            <w:r>
              <w:rPr>
                <w:color w:val="334155"/>
                <w:sz w:val="20"/>
                <w:szCs w:val="20"/>
              </w:rPr>
              <w:t>Higher (flash storage cycles)</w:t>
            </w:r>
          </w:p>
        </w:tc>
        <w:tc>
          <w:tcPr>
            <w:tcW w:w="25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8EA156" w14:textId="77777777" w:rsidR="004E02A1" w:rsidRDefault="00000000">
            <w:r>
              <w:rPr>
                <w:color w:val="334155"/>
                <w:sz w:val="20"/>
                <w:szCs w:val="20"/>
              </w:rPr>
              <w:t>Lower (stable monopoly)</w:t>
            </w:r>
          </w:p>
        </w:tc>
      </w:tr>
      <w:tr w:rsidR="004E02A1" w14:paraId="018EA15B" w14:textId="77777777">
        <w:tblPrEx>
          <w:tblCellMar>
            <w:top w:w="0" w:type="dxa"/>
            <w:bottom w:w="0" w:type="dxa"/>
          </w:tblCellMar>
        </w:tblPrEx>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158" w14:textId="77777777" w:rsidR="004E02A1" w:rsidRDefault="00000000">
            <w:r>
              <w:rPr>
                <w:color w:val="334155"/>
                <w:sz w:val="20"/>
                <w:szCs w:val="20"/>
              </w:rPr>
              <w:t>5th Percentile Scenario</w:t>
            </w:r>
          </w:p>
        </w:tc>
        <w:tc>
          <w:tcPr>
            <w:tcW w:w="25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159" w14:textId="77777777" w:rsidR="004E02A1" w:rsidRDefault="00000000">
            <w:r>
              <w:rPr>
                <w:color w:val="334155"/>
                <w:sz w:val="20"/>
                <w:szCs w:val="20"/>
              </w:rPr>
              <w:t>Significant downside</w:t>
            </w:r>
          </w:p>
        </w:tc>
        <w:tc>
          <w:tcPr>
            <w:tcW w:w="25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15A" w14:textId="77777777" w:rsidR="004E02A1" w:rsidRDefault="00000000">
            <w:r>
              <w:rPr>
                <w:color w:val="334155"/>
                <w:sz w:val="20"/>
                <w:szCs w:val="20"/>
              </w:rPr>
              <w:t>Moderate downside</w:t>
            </w:r>
          </w:p>
        </w:tc>
      </w:tr>
      <w:tr w:rsidR="004E02A1" w14:paraId="018EA15F" w14:textId="77777777">
        <w:tblPrEx>
          <w:tblCellMar>
            <w:top w:w="0" w:type="dxa"/>
            <w:bottom w:w="0" w:type="dxa"/>
          </w:tblCellMar>
        </w:tblPrEx>
        <w:tc>
          <w:tcPr>
            <w:tcW w:w="4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8EA15C" w14:textId="77777777" w:rsidR="004E02A1" w:rsidRDefault="00000000">
            <w:r>
              <w:rPr>
                <w:color w:val="334155"/>
                <w:sz w:val="20"/>
                <w:szCs w:val="20"/>
              </w:rPr>
              <w:t>95th Percentile Scenario</w:t>
            </w:r>
          </w:p>
        </w:tc>
        <w:tc>
          <w:tcPr>
            <w:tcW w:w="25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8EA15D" w14:textId="77777777" w:rsidR="004E02A1" w:rsidRDefault="00000000">
            <w:r>
              <w:rPr>
                <w:color w:val="334155"/>
                <w:sz w:val="20"/>
                <w:szCs w:val="20"/>
              </w:rPr>
              <w:t>Large upside possible</w:t>
            </w:r>
          </w:p>
        </w:tc>
        <w:tc>
          <w:tcPr>
            <w:tcW w:w="25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8EA15E" w14:textId="77777777" w:rsidR="004E02A1" w:rsidRDefault="00000000">
            <w:r>
              <w:rPr>
                <w:color w:val="334155"/>
                <w:sz w:val="20"/>
                <w:szCs w:val="20"/>
              </w:rPr>
              <w:t>Strong compounding</w:t>
            </w:r>
          </w:p>
        </w:tc>
      </w:tr>
      <w:tr w:rsidR="004E02A1" w14:paraId="018EA163" w14:textId="77777777">
        <w:tblPrEx>
          <w:tblCellMar>
            <w:top w:w="0" w:type="dxa"/>
            <w:bottom w:w="0" w:type="dxa"/>
          </w:tblCellMar>
        </w:tblPrEx>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160" w14:textId="77777777" w:rsidR="004E02A1" w:rsidRDefault="00000000">
            <w:r>
              <w:rPr>
                <w:color w:val="334155"/>
                <w:sz w:val="20"/>
                <w:szCs w:val="20"/>
              </w:rPr>
              <w:t>BSM Option Premium</w:t>
            </w:r>
          </w:p>
        </w:tc>
        <w:tc>
          <w:tcPr>
            <w:tcW w:w="25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161" w14:textId="77777777" w:rsidR="004E02A1" w:rsidRDefault="00000000">
            <w:r>
              <w:rPr>
                <w:color w:val="334155"/>
                <w:sz w:val="20"/>
                <w:szCs w:val="20"/>
              </w:rPr>
              <w:t>Higher (higher σ)</w:t>
            </w:r>
          </w:p>
        </w:tc>
        <w:tc>
          <w:tcPr>
            <w:tcW w:w="25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162" w14:textId="77777777" w:rsidR="004E02A1" w:rsidRDefault="00000000">
            <w:r>
              <w:rPr>
                <w:color w:val="334155"/>
                <w:sz w:val="20"/>
                <w:szCs w:val="20"/>
              </w:rPr>
              <w:t>Lower (lower σ)</w:t>
            </w:r>
          </w:p>
        </w:tc>
      </w:tr>
    </w:tbl>
    <w:p w14:paraId="018EA164" w14:textId="77777777" w:rsidR="004E02A1" w:rsidRDefault="00000000">
      <w:pPr>
        <w:spacing w:before="60" w:after="200"/>
        <w:jc w:val="center"/>
      </w:pPr>
      <w:r>
        <w:rPr>
          <w:i/>
          <w:iCs/>
          <w:color w:val="64748B"/>
          <w:sz w:val="18"/>
          <w:szCs w:val="18"/>
        </w:rPr>
        <w:t>Table 5. Qualitative comparison of simulation outcomes. Quantitative values are reported in the Jupyter Notebook.</w:t>
      </w:r>
    </w:p>
    <w:p w14:paraId="018EA165" w14:textId="77777777" w:rsidR="004E02A1" w:rsidRDefault="00000000">
      <w:pPr>
        <w:pStyle w:val="Heading2"/>
      </w:pPr>
      <w:r>
        <w:t>5.3 Interpretation</w:t>
      </w:r>
    </w:p>
    <w:p w14:paraId="018EA166" w14:textId="77777777" w:rsidR="004E02A1" w:rsidRDefault="00000000">
      <w:pPr>
        <w:spacing w:after="120"/>
        <w:jc w:val="both"/>
      </w:pPr>
      <w:r>
        <w:rPr>
          <w:color w:val="334155"/>
        </w:rPr>
        <w:t>GBM simulations reveal that higher-volatility stocks exhibit wider fans of possible outcomes. While a higher-drift stock may have a higher median forecast price, it also has a heavier left tail (larger downside risk). This risk-return trade-off is central to portfolio construction.</w:t>
      </w:r>
    </w:p>
    <w:p w14:paraId="018EA167" w14:textId="77777777" w:rsidR="004E02A1" w:rsidRDefault="00000000">
      <w:pPr>
        <w:spacing w:after="120"/>
        <w:jc w:val="both"/>
      </w:pPr>
      <w:r>
        <w:rPr>
          <w:color w:val="334155"/>
        </w:rPr>
        <w:t>ASML's combination of moderate drift and lower volatility makes it a compelling candidate for long-term, lower-risk equity exposure, consistent with its role as a critical infrastructure supplier to the global semiconductor industry.</w:t>
      </w:r>
    </w:p>
    <w:p w14:paraId="018EA168" w14:textId="77777777" w:rsidR="004E02A1" w:rsidRDefault="004E02A1">
      <w:pPr>
        <w:spacing w:after="120"/>
      </w:pPr>
    </w:p>
    <w:p w14:paraId="018EA169" w14:textId="77777777" w:rsidR="004E02A1" w:rsidRDefault="00000000">
      <w:pPr>
        <w:pStyle w:val="Heading1"/>
        <w:pBdr>
          <w:bottom w:val="single" w:sz="6" w:space="4" w:color="0EA5E9"/>
        </w:pBdr>
      </w:pPr>
      <w:r>
        <w:t>6. Limitations and Model Extensions</w:t>
      </w:r>
    </w:p>
    <w:p w14:paraId="018EA16A" w14:textId="77777777" w:rsidR="004E02A1" w:rsidRDefault="00000000">
      <w:pPr>
        <w:pStyle w:val="Heading2"/>
      </w:pPr>
      <w:r>
        <w:t>6.1 Limitations of GBM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4E02A1" w14:paraId="018EA16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F3864"/>
            <w:tcMar>
              <w:top w:w="80" w:type="dxa"/>
              <w:left w:w="120" w:type="dxa"/>
              <w:bottom w:w="80" w:type="dxa"/>
              <w:right w:w="120" w:type="dxa"/>
            </w:tcMar>
          </w:tcPr>
          <w:p w14:paraId="018EA16B" w14:textId="77777777" w:rsidR="004E02A1" w:rsidRDefault="00000000">
            <w:pPr>
              <w:jc w:val="center"/>
            </w:pPr>
            <w:r>
              <w:rPr>
                <w:b/>
                <w:bCs/>
                <w:color w:val="FFFFFF"/>
                <w:sz w:val="20"/>
                <w:szCs w:val="20"/>
              </w:rPr>
              <w:t>Assumption</w:t>
            </w:r>
          </w:p>
        </w:tc>
        <w:tc>
          <w:tcPr>
            <w:tcW w:w="3280" w:type="dxa"/>
            <w:tcBorders>
              <w:top w:val="single" w:sz="1" w:space="0" w:color="CBD5E1"/>
              <w:left w:val="single" w:sz="1" w:space="0" w:color="CBD5E1"/>
              <w:bottom w:val="single" w:sz="1" w:space="0" w:color="CBD5E1"/>
              <w:right w:val="single" w:sz="1" w:space="0" w:color="CBD5E1"/>
            </w:tcBorders>
            <w:shd w:val="clear" w:color="auto" w:fill="1F3864"/>
            <w:tcMar>
              <w:top w:w="80" w:type="dxa"/>
              <w:left w:w="120" w:type="dxa"/>
              <w:bottom w:w="80" w:type="dxa"/>
              <w:right w:w="120" w:type="dxa"/>
            </w:tcMar>
          </w:tcPr>
          <w:p w14:paraId="018EA16C" w14:textId="77777777" w:rsidR="004E02A1" w:rsidRDefault="00000000">
            <w:pPr>
              <w:jc w:val="center"/>
            </w:pPr>
            <w:r>
              <w:rPr>
                <w:b/>
                <w:bCs/>
                <w:color w:val="FFFFFF"/>
                <w:sz w:val="20"/>
                <w:szCs w:val="20"/>
              </w:rPr>
              <w:t>Empirical Reality</w:t>
            </w:r>
          </w:p>
        </w:tc>
        <w:tc>
          <w:tcPr>
            <w:tcW w:w="3280" w:type="dxa"/>
            <w:tcBorders>
              <w:top w:val="single" w:sz="1" w:space="0" w:color="CBD5E1"/>
              <w:left w:val="single" w:sz="1" w:space="0" w:color="CBD5E1"/>
              <w:bottom w:val="single" w:sz="1" w:space="0" w:color="CBD5E1"/>
              <w:right w:val="single" w:sz="1" w:space="0" w:color="CBD5E1"/>
            </w:tcBorders>
            <w:shd w:val="clear" w:color="auto" w:fill="1F3864"/>
            <w:tcMar>
              <w:top w:w="80" w:type="dxa"/>
              <w:left w:w="120" w:type="dxa"/>
              <w:bottom w:w="80" w:type="dxa"/>
              <w:right w:w="120" w:type="dxa"/>
            </w:tcMar>
          </w:tcPr>
          <w:p w14:paraId="018EA16D" w14:textId="77777777" w:rsidR="004E02A1" w:rsidRDefault="00000000">
            <w:pPr>
              <w:jc w:val="center"/>
            </w:pPr>
            <w:r>
              <w:rPr>
                <w:b/>
                <w:bCs/>
                <w:color w:val="FFFFFF"/>
                <w:sz w:val="20"/>
                <w:szCs w:val="20"/>
              </w:rPr>
              <w:t>Consequence</w:t>
            </w:r>
          </w:p>
        </w:tc>
      </w:tr>
      <w:tr w:rsidR="004E02A1" w14:paraId="018EA17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16F" w14:textId="77777777" w:rsidR="004E02A1" w:rsidRDefault="00000000">
            <w:r>
              <w:rPr>
                <w:color w:val="334155"/>
                <w:sz w:val="20"/>
                <w:szCs w:val="20"/>
              </w:rPr>
              <w:t>Constant volatility</w:t>
            </w:r>
          </w:p>
        </w:tc>
        <w:tc>
          <w:tcPr>
            <w:tcW w:w="3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170" w14:textId="77777777" w:rsidR="004E02A1" w:rsidRDefault="00000000">
            <w:r>
              <w:rPr>
                <w:color w:val="334155"/>
                <w:sz w:val="20"/>
                <w:szCs w:val="20"/>
              </w:rPr>
              <w:t>Volatility clusters and mean-reverts</w:t>
            </w:r>
          </w:p>
        </w:tc>
        <w:tc>
          <w:tcPr>
            <w:tcW w:w="3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171" w14:textId="77777777" w:rsidR="004E02A1" w:rsidRDefault="00000000">
            <w:r>
              <w:rPr>
                <w:color w:val="334155"/>
                <w:sz w:val="20"/>
                <w:szCs w:val="20"/>
              </w:rPr>
              <w:t>Underprices OTM options</w:t>
            </w:r>
          </w:p>
        </w:tc>
      </w:tr>
      <w:tr w:rsidR="004E02A1" w14:paraId="018EA17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8EA173" w14:textId="77777777" w:rsidR="004E02A1" w:rsidRDefault="00000000">
            <w:r>
              <w:rPr>
                <w:color w:val="334155"/>
                <w:sz w:val="20"/>
                <w:szCs w:val="20"/>
              </w:rPr>
              <w:t>Continuous paths</w:t>
            </w:r>
          </w:p>
        </w:tc>
        <w:tc>
          <w:tcPr>
            <w:tcW w:w="32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8EA174" w14:textId="77777777" w:rsidR="004E02A1" w:rsidRDefault="00000000">
            <w:r>
              <w:rPr>
                <w:color w:val="334155"/>
                <w:sz w:val="20"/>
                <w:szCs w:val="20"/>
              </w:rPr>
              <w:t xml:space="preserve">Markets gap </w:t>
            </w:r>
            <w:proofErr w:type="gramStart"/>
            <w:r>
              <w:rPr>
                <w:color w:val="334155"/>
                <w:sz w:val="20"/>
                <w:szCs w:val="20"/>
              </w:rPr>
              <w:t>on</w:t>
            </w:r>
            <w:proofErr w:type="gramEnd"/>
            <w:r>
              <w:rPr>
                <w:color w:val="334155"/>
                <w:sz w:val="20"/>
                <w:szCs w:val="20"/>
              </w:rPr>
              <w:t xml:space="preserve"> news events</w:t>
            </w:r>
          </w:p>
        </w:tc>
        <w:tc>
          <w:tcPr>
            <w:tcW w:w="32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8EA175" w14:textId="77777777" w:rsidR="004E02A1" w:rsidRDefault="00000000">
            <w:r>
              <w:rPr>
                <w:color w:val="334155"/>
                <w:sz w:val="20"/>
                <w:szCs w:val="20"/>
              </w:rPr>
              <w:t>Misses jump risk</w:t>
            </w:r>
          </w:p>
        </w:tc>
      </w:tr>
      <w:tr w:rsidR="004E02A1" w14:paraId="018EA17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177" w14:textId="77777777" w:rsidR="004E02A1" w:rsidRDefault="00000000">
            <w:r>
              <w:rPr>
                <w:color w:val="334155"/>
                <w:sz w:val="20"/>
                <w:szCs w:val="20"/>
              </w:rPr>
              <w:t>Log-normal returns</w:t>
            </w:r>
          </w:p>
        </w:tc>
        <w:tc>
          <w:tcPr>
            <w:tcW w:w="3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178" w14:textId="77777777" w:rsidR="004E02A1" w:rsidRDefault="00000000">
            <w:r>
              <w:rPr>
                <w:color w:val="334155"/>
                <w:sz w:val="20"/>
                <w:szCs w:val="20"/>
              </w:rPr>
              <w:t>Fat tails observed empirically</w:t>
            </w:r>
          </w:p>
        </w:tc>
        <w:tc>
          <w:tcPr>
            <w:tcW w:w="3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179" w14:textId="77777777" w:rsidR="004E02A1" w:rsidRDefault="00000000">
            <w:r>
              <w:rPr>
                <w:color w:val="334155"/>
                <w:sz w:val="20"/>
                <w:szCs w:val="20"/>
              </w:rPr>
              <w:t>Underestimates tail events</w:t>
            </w:r>
          </w:p>
        </w:tc>
      </w:tr>
      <w:tr w:rsidR="004E02A1" w14:paraId="018EA17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8EA17B" w14:textId="77777777" w:rsidR="004E02A1" w:rsidRDefault="00000000">
            <w:r>
              <w:rPr>
                <w:color w:val="334155"/>
                <w:sz w:val="20"/>
                <w:szCs w:val="20"/>
              </w:rPr>
              <w:t>Constant drift</w:t>
            </w:r>
          </w:p>
        </w:tc>
        <w:tc>
          <w:tcPr>
            <w:tcW w:w="32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8EA17C" w14:textId="77777777" w:rsidR="004E02A1" w:rsidRDefault="00000000">
            <w:r>
              <w:rPr>
                <w:color w:val="334155"/>
                <w:sz w:val="20"/>
                <w:szCs w:val="20"/>
              </w:rPr>
              <w:t>Regime changes occur</w:t>
            </w:r>
          </w:p>
        </w:tc>
        <w:tc>
          <w:tcPr>
            <w:tcW w:w="32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8EA17D" w14:textId="77777777" w:rsidR="004E02A1" w:rsidRDefault="00000000">
            <w:r>
              <w:rPr>
                <w:color w:val="334155"/>
                <w:sz w:val="20"/>
                <w:szCs w:val="20"/>
              </w:rPr>
              <w:t>Misprices long-dated derivatives</w:t>
            </w:r>
          </w:p>
        </w:tc>
      </w:tr>
      <w:tr w:rsidR="004E02A1" w14:paraId="018EA18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17F" w14:textId="77777777" w:rsidR="004E02A1" w:rsidRDefault="00000000">
            <w:r>
              <w:rPr>
                <w:color w:val="334155"/>
                <w:sz w:val="20"/>
                <w:szCs w:val="20"/>
              </w:rPr>
              <w:t>No dividends</w:t>
            </w:r>
          </w:p>
        </w:tc>
        <w:tc>
          <w:tcPr>
            <w:tcW w:w="3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180" w14:textId="77777777" w:rsidR="004E02A1" w:rsidRDefault="00000000">
            <w:r>
              <w:rPr>
                <w:color w:val="334155"/>
                <w:sz w:val="20"/>
                <w:szCs w:val="20"/>
              </w:rPr>
              <w:t>Many equities pay dividends</w:t>
            </w:r>
          </w:p>
        </w:tc>
        <w:tc>
          <w:tcPr>
            <w:tcW w:w="3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EA181" w14:textId="77777777" w:rsidR="004E02A1" w:rsidRDefault="00000000">
            <w:r>
              <w:rPr>
                <w:color w:val="334155"/>
                <w:sz w:val="20"/>
                <w:szCs w:val="20"/>
              </w:rPr>
              <w:t>Overvalues call options</w:t>
            </w:r>
          </w:p>
        </w:tc>
      </w:tr>
    </w:tbl>
    <w:p w14:paraId="018EA183" w14:textId="77777777" w:rsidR="004E02A1" w:rsidRDefault="00000000">
      <w:pPr>
        <w:spacing w:before="60" w:after="200"/>
        <w:jc w:val="center"/>
      </w:pPr>
      <w:r>
        <w:rPr>
          <w:i/>
          <w:iCs/>
          <w:color w:val="64748B"/>
          <w:sz w:val="18"/>
          <w:szCs w:val="18"/>
        </w:rPr>
        <w:t>Table 6. Known limitations of the Geometric Brownian Motion model.</w:t>
      </w:r>
    </w:p>
    <w:p w14:paraId="018EA184" w14:textId="77777777" w:rsidR="004E02A1" w:rsidRDefault="00000000">
      <w:pPr>
        <w:pStyle w:val="Heading2"/>
      </w:pPr>
      <w:r>
        <w:t>6.2 Extensions and More Advanced Models</w:t>
      </w:r>
    </w:p>
    <w:p w14:paraId="018EA185" w14:textId="77777777" w:rsidR="004E02A1" w:rsidRDefault="00000000">
      <w:pPr>
        <w:pStyle w:val="ListParagraph"/>
        <w:numPr>
          <w:ilvl w:val="0"/>
          <w:numId w:val="2"/>
        </w:numPr>
        <w:spacing w:after="80"/>
      </w:pPr>
      <w:r>
        <w:rPr>
          <w:color w:val="334155"/>
        </w:rPr>
        <w:t>Heston Model (1993): Introduces stochastic volatility where sigma_t follows a mean-reverting Cox-Ingersoll-Ross process. Reproduces the volatility smile observed in options markets.</w:t>
      </w:r>
    </w:p>
    <w:p w14:paraId="018EA186" w14:textId="77777777" w:rsidR="004E02A1" w:rsidRDefault="00000000">
      <w:pPr>
        <w:pStyle w:val="ListParagraph"/>
        <w:numPr>
          <w:ilvl w:val="0"/>
          <w:numId w:val="2"/>
        </w:numPr>
        <w:spacing w:after="80"/>
      </w:pPr>
      <w:r>
        <w:rPr>
          <w:color w:val="334155"/>
        </w:rPr>
        <w:lastRenderedPageBreak/>
        <w:t>Jump-Diffusion Models (Merton 1976, Kou 2002): Add a Poisson-driven jump component to GBM, capturing sudden large price moves.</w:t>
      </w:r>
    </w:p>
    <w:p w14:paraId="018EA187" w14:textId="77777777" w:rsidR="004E02A1" w:rsidRDefault="00000000">
      <w:pPr>
        <w:pStyle w:val="ListParagraph"/>
        <w:numPr>
          <w:ilvl w:val="0"/>
          <w:numId w:val="2"/>
        </w:numPr>
        <w:spacing w:after="80"/>
      </w:pPr>
      <w:r>
        <w:rPr>
          <w:color w:val="334155"/>
        </w:rPr>
        <w:t>SABR Model: Stochastic Alpha Beta Rho — widely used for volatility surface calibration in interest rate and FX derivatives.</w:t>
      </w:r>
    </w:p>
    <w:p w14:paraId="018EA188" w14:textId="77777777" w:rsidR="004E02A1" w:rsidRDefault="00000000">
      <w:pPr>
        <w:pStyle w:val="ListParagraph"/>
        <w:numPr>
          <w:ilvl w:val="0"/>
          <w:numId w:val="2"/>
        </w:numPr>
        <w:spacing w:after="80"/>
      </w:pPr>
      <w:r>
        <w:rPr>
          <w:color w:val="334155"/>
        </w:rPr>
        <w:t>Rough Volatility (Gatheral et al. 2018): Uses fractional Brownian motion with Hurst exponent H &lt; 0.5 in the volatility process, better fitting short-term volatility clustering.</w:t>
      </w:r>
    </w:p>
    <w:p w14:paraId="018EA189" w14:textId="77777777" w:rsidR="004E02A1" w:rsidRDefault="004E02A1">
      <w:pPr>
        <w:spacing w:after="120"/>
      </w:pPr>
    </w:p>
    <w:p w14:paraId="018EA18A" w14:textId="77777777" w:rsidR="004E02A1" w:rsidRDefault="00000000">
      <w:pPr>
        <w:pStyle w:val="Heading1"/>
        <w:pBdr>
          <w:bottom w:val="single" w:sz="6" w:space="4" w:color="0EA5E9"/>
        </w:pBdr>
      </w:pPr>
      <w:r>
        <w:t>7. Conclusions</w:t>
      </w:r>
    </w:p>
    <w:p w14:paraId="018EA18B" w14:textId="77777777" w:rsidR="004E02A1" w:rsidRDefault="00000000">
      <w:pPr>
        <w:spacing w:after="120"/>
        <w:jc w:val="both"/>
      </w:pPr>
      <w:r>
        <w:rPr>
          <w:color w:val="334155"/>
        </w:rPr>
        <w:t>This project demonstrates the end-to-end application of Geometric Brownian Motion to real equity data. Starting from the axiomatic definition of the Wiener process and the derivation of the GBM solution via Ito's Lemma, we estimated drift and volatility parameters for SanDisk (SNDK) and ASML from historical prices, simulated 500 forward price paths per stock over a three-year horizon, and applied the Black-Scholes-Merton model to price European call options.</w:t>
      </w:r>
    </w:p>
    <w:p w14:paraId="018EA18C" w14:textId="77777777" w:rsidR="004E02A1" w:rsidRDefault="00000000">
      <w:pPr>
        <w:spacing w:after="120"/>
        <w:jc w:val="both"/>
      </w:pPr>
      <w:r>
        <w:rPr>
          <w:color w:val="334155"/>
        </w:rPr>
        <w:t>Key conclusions:</w:t>
      </w:r>
    </w:p>
    <w:p w14:paraId="018EA18D" w14:textId="77777777" w:rsidR="004E02A1" w:rsidRDefault="00000000">
      <w:pPr>
        <w:pStyle w:val="ListParagraph"/>
        <w:numPr>
          <w:ilvl w:val="0"/>
          <w:numId w:val="2"/>
        </w:numPr>
        <w:spacing w:after="80"/>
      </w:pPr>
      <w:r>
        <w:rPr>
          <w:color w:val="334155"/>
        </w:rPr>
        <w:t>GBM provides an analytically tractable and practically useful model for equity price dynamics, forming the backbone of the Black-Scholes options pricing framework.</w:t>
      </w:r>
    </w:p>
    <w:p w14:paraId="018EA18E" w14:textId="77777777" w:rsidR="004E02A1" w:rsidRDefault="00000000">
      <w:pPr>
        <w:pStyle w:val="ListParagraph"/>
        <w:numPr>
          <w:ilvl w:val="0"/>
          <w:numId w:val="2"/>
        </w:numPr>
        <w:spacing w:after="80"/>
      </w:pPr>
      <w:r>
        <w:rPr>
          <w:color w:val="334155"/>
        </w:rPr>
        <w:t>Higher-volatility stocks produce wider distributions of future outcomes, commanding higher option premiums and carrying greater downside risk alongside greater upside potential.</w:t>
      </w:r>
    </w:p>
    <w:p w14:paraId="018EA18F" w14:textId="77777777" w:rsidR="004E02A1" w:rsidRDefault="00000000">
      <w:pPr>
        <w:pStyle w:val="ListParagraph"/>
        <w:numPr>
          <w:ilvl w:val="0"/>
          <w:numId w:val="2"/>
        </w:numPr>
        <w:spacing w:after="80"/>
      </w:pPr>
      <w:r>
        <w:rPr>
          <w:color w:val="334155"/>
        </w:rPr>
        <w:t>The Ito correction term (-sigma^2/2) is non-negligible for high-volatility assets and must be included for unbiased simulation.</w:t>
      </w:r>
    </w:p>
    <w:p w14:paraId="018EA190" w14:textId="77777777" w:rsidR="004E02A1" w:rsidRDefault="00000000">
      <w:pPr>
        <w:pStyle w:val="ListParagraph"/>
        <w:numPr>
          <w:ilvl w:val="0"/>
          <w:numId w:val="2"/>
        </w:numPr>
        <w:spacing w:after="80"/>
      </w:pPr>
      <w:r>
        <w:rPr>
          <w:color w:val="334155"/>
        </w:rPr>
        <w:t>Despite well-known limitations (constant volatility, no jumps), GBM remains the essential baseline model before applying more sophisticated extensions.</w:t>
      </w:r>
    </w:p>
    <w:p w14:paraId="018EA191" w14:textId="77777777" w:rsidR="004E02A1" w:rsidRDefault="004E02A1">
      <w:pPr>
        <w:spacing w:after="120"/>
      </w:pPr>
    </w:p>
    <w:p w14:paraId="018EA192" w14:textId="77777777" w:rsidR="004E02A1" w:rsidRDefault="00000000">
      <w:pPr>
        <w:pStyle w:val="Heading1"/>
        <w:pBdr>
          <w:bottom w:val="single" w:sz="6" w:space="4" w:color="0EA5E9"/>
        </w:pBdr>
      </w:pPr>
      <w:r>
        <w:t>References</w:t>
      </w:r>
    </w:p>
    <w:p w14:paraId="018EA193" w14:textId="77777777" w:rsidR="004E02A1" w:rsidRDefault="00000000">
      <w:pPr>
        <w:spacing w:after="100"/>
      </w:pPr>
      <w:r>
        <w:rPr>
          <w:b/>
          <w:bCs/>
          <w:color w:val="1F3864"/>
        </w:rPr>
        <w:t xml:space="preserve">Black, F. &amp; Scholes, M. (1973). </w:t>
      </w:r>
      <w:r>
        <w:rPr>
          <w:color w:val="334155"/>
        </w:rPr>
        <w:t>The Pricing of Options and Corporate Liabilities. Journal of Political Economy, 81(3), 637–654.</w:t>
      </w:r>
    </w:p>
    <w:p w14:paraId="018EA194" w14:textId="77777777" w:rsidR="004E02A1" w:rsidRDefault="00000000">
      <w:pPr>
        <w:spacing w:after="100"/>
      </w:pPr>
      <w:r>
        <w:rPr>
          <w:b/>
          <w:bCs/>
          <w:color w:val="1F3864"/>
        </w:rPr>
        <w:t xml:space="preserve">Merton, R.C. (1973). </w:t>
      </w:r>
      <w:r>
        <w:rPr>
          <w:color w:val="334155"/>
        </w:rPr>
        <w:t>Theory of Rational Option Pricing. Bell Journal of Economics, 4(1), 141–183.</w:t>
      </w:r>
    </w:p>
    <w:p w14:paraId="018EA195" w14:textId="77777777" w:rsidR="004E02A1" w:rsidRDefault="00000000">
      <w:pPr>
        <w:spacing w:after="100"/>
      </w:pPr>
      <w:r>
        <w:rPr>
          <w:b/>
          <w:bCs/>
          <w:color w:val="1F3864"/>
        </w:rPr>
        <w:t xml:space="preserve">Shreve, S.E. (2004). </w:t>
      </w:r>
      <w:r>
        <w:rPr>
          <w:color w:val="334155"/>
        </w:rPr>
        <w:t xml:space="preserve">Stochastic Calculus for Finance II: </w:t>
      </w:r>
      <w:proofErr w:type="gramStart"/>
      <w:r>
        <w:rPr>
          <w:color w:val="334155"/>
        </w:rPr>
        <w:t>Continuous-Time</w:t>
      </w:r>
      <w:proofErr w:type="gramEnd"/>
      <w:r>
        <w:rPr>
          <w:color w:val="334155"/>
        </w:rPr>
        <w:t xml:space="preserve"> Models. Springer.</w:t>
      </w:r>
    </w:p>
    <w:p w14:paraId="018EA196" w14:textId="77777777" w:rsidR="004E02A1" w:rsidRDefault="00000000">
      <w:pPr>
        <w:spacing w:after="100"/>
      </w:pPr>
      <w:r>
        <w:rPr>
          <w:b/>
          <w:bCs/>
          <w:color w:val="1F3864"/>
        </w:rPr>
        <w:t xml:space="preserve">Hull, J.C. (2022). </w:t>
      </w:r>
      <w:r>
        <w:rPr>
          <w:color w:val="334155"/>
        </w:rPr>
        <w:t>Options, Futures, and Other Derivatives (11th ed.). Pearson.</w:t>
      </w:r>
    </w:p>
    <w:p w14:paraId="018EA197" w14:textId="77777777" w:rsidR="004E02A1" w:rsidRDefault="00000000">
      <w:pPr>
        <w:spacing w:after="100"/>
      </w:pPr>
      <w:r>
        <w:rPr>
          <w:b/>
          <w:bCs/>
          <w:color w:val="1F3864"/>
        </w:rPr>
        <w:t xml:space="preserve">Oksendal, B. (2003). </w:t>
      </w:r>
      <w:r>
        <w:rPr>
          <w:color w:val="334155"/>
        </w:rPr>
        <w:t>Stochastic Differential Equations: An Introduction with Applications (6th ed.). Springer.</w:t>
      </w:r>
    </w:p>
    <w:p w14:paraId="018EA198" w14:textId="77777777" w:rsidR="004E02A1" w:rsidRDefault="00000000">
      <w:pPr>
        <w:spacing w:after="100"/>
      </w:pPr>
      <w:r>
        <w:rPr>
          <w:b/>
          <w:bCs/>
          <w:color w:val="1F3864"/>
        </w:rPr>
        <w:t xml:space="preserve">Ermogenous, A. (2006). </w:t>
      </w:r>
      <w:r>
        <w:rPr>
          <w:color w:val="334155"/>
        </w:rPr>
        <w:t>Brownian Motion and Its Applications in the Stock Market. Undergraduate Mathematics Day Proceedings, University of Dayton.</w:t>
      </w:r>
    </w:p>
    <w:p w14:paraId="018EA199" w14:textId="77777777" w:rsidR="004E02A1" w:rsidRDefault="00000000">
      <w:pPr>
        <w:spacing w:after="100"/>
      </w:pPr>
      <w:r>
        <w:rPr>
          <w:b/>
          <w:bCs/>
          <w:color w:val="1F3864"/>
        </w:rPr>
        <w:t xml:space="preserve">Emerick, J. (2021). </w:t>
      </w:r>
      <w:r>
        <w:rPr>
          <w:color w:val="334155"/>
        </w:rPr>
        <w:t xml:space="preserve">Brownian Motion for Financial Mathematics — YouTube Tutorial. </w:t>
      </w:r>
      <w:proofErr w:type="spellStart"/>
      <w:r>
        <w:rPr>
          <w:color w:val="334155"/>
        </w:rPr>
        <w:t>QuantPy</w:t>
      </w:r>
      <w:proofErr w:type="spellEnd"/>
      <w:r>
        <w:rPr>
          <w:color w:val="334155"/>
        </w:rPr>
        <w:t xml:space="preserve"> Channel.</w:t>
      </w:r>
    </w:p>
    <w:sectPr w:rsidR="004E02A1">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79ABF" w14:textId="77777777" w:rsidR="00CE4BA8" w:rsidRDefault="00CE4BA8">
      <w:r>
        <w:separator/>
      </w:r>
    </w:p>
  </w:endnote>
  <w:endnote w:type="continuationSeparator" w:id="0">
    <w:p w14:paraId="3992E463" w14:textId="77777777" w:rsidR="00CE4BA8" w:rsidRDefault="00CE4B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EA19B" w14:textId="33B515AF" w:rsidR="004E02A1" w:rsidRDefault="00000000">
    <w:pPr>
      <w:pBdr>
        <w:top w:val="single" w:sz="4" w:space="4" w:color="0EA5E9"/>
      </w:pBdr>
    </w:pPr>
    <w:r>
      <w:rPr>
        <w:color w:val="94A3B8"/>
        <w:sz w:val="18"/>
        <w:szCs w:val="18"/>
      </w:rPr>
      <w:t xml:space="preserve">Page </w:t>
    </w:r>
    <w:r>
      <w:rPr>
        <w:color w:val="94A3B8"/>
        <w:sz w:val="18"/>
        <w:szCs w:val="18"/>
      </w:rPr>
      <w:fldChar w:fldCharType="begin"/>
    </w:r>
    <w:r>
      <w:rPr>
        <w:color w:val="94A3B8"/>
        <w:sz w:val="18"/>
        <w:szCs w:val="18"/>
      </w:rPr>
      <w:instrText>PAGE</w:instrText>
    </w:r>
    <w:r>
      <w:rPr>
        <w:color w:val="94A3B8"/>
        <w:sz w:val="18"/>
        <w:szCs w:val="18"/>
      </w:rPr>
      <w:fldChar w:fldCharType="separate"/>
    </w:r>
    <w:r w:rsidR="00532FD3">
      <w:rPr>
        <w:noProof/>
        <w:color w:val="94A3B8"/>
        <w:sz w:val="18"/>
        <w:szCs w:val="18"/>
      </w:rPr>
      <w:t>1</w:t>
    </w:r>
    <w:r>
      <w:rPr>
        <w:color w:val="94A3B8"/>
        <w:sz w:val="18"/>
        <w:szCs w:val="18"/>
      </w:rPr>
      <w:fldChar w:fldCharType="end"/>
    </w:r>
    <w:r>
      <w:rPr>
        <w:color w:val="94A3B8"/>
        <w:sz w:val="18"/>
        <w:szCs w:val="18"/>
      </w:rPr>
      <w:t xml:space="preserve"> of </w:t>
    </w:r>
    <w:r>
      <w:rPr>
        <w:color w:val="94A3B8"/>
        <w:sz w:val="18"/>
        <w:szCs w:val="18"/>
      </w:rPr>
      <w:fldChar w:fldCharType="begin"/>
    </w:r>
    <w:r>
      <w:rPr>
        <w:color w:val="94A3B8"/>
        <w:sz w:val="18"/>
        <w:szCs w:val="18"/>
      </w:rPr>
      <w:instrText>NUMPAGES</w:instrText>
    </w:r>
    <w:r>
      <w:rPr>
        <w:color w:val="94A3B8"/>
        <w:sz w:val="18"/>
        <w:szCs w:val="18"/>
      </w:rPr>
      <w:fldChar w:fldCharType="separate"/>
    </w:r>
    <w:r w:rsidR="00532FD3">
      <w:rPr>
        <w:noProof/>
        <w:color w:val="94A3B8"/>
        <w:sz w:val="18"/>
        <w:szCs w:val="18"/>
      </w:rPr>
      <w:t>2</w:t>
    </w:r>
    <w:r>
      <w:rPr>
        <w:color w:val="94A3B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605A1" w14:textId="77777777" w:rsidR="00CE4BA8" w:rsidRDefault="00CE4BA8">
      <w:r>
        <w:separator/>
      </w:r>
    </w:p>
  </w:footnote>
  <w:footnote w:type="continuationSeparator" w:id="0">
    <w:p w14:paraId="725E38D4" w14:textId="77777777" w:rsidR="00CE4BA8" w:rsidRDefault="00CE4B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EA19A" w14:textId="77777777" w:rsidR="004E02A1" w:rsidRDefault="00000000">
    <w:pPr>
      <w:pBdr>
        <w:bottom w:val="single" w:sz="4" w:space="4" w:color="0EA5E9"/>
      </w:pBdr>
    </w:pPr>
    <w:r>
      <w:rPr>
        <w:b/>
        <w:bCs/>
        <w:color w:val="1F3864"/>
        <w:sz w:val="18"/>
        <w:szCs w:val="18"/>
      </w:rPr>
      <w:t>Geometric Brownian Motion</w:t>
    </w:r>
    <w:r>
      <w:rPr>
        <w:color w:val="64748B"/>
        <w:sz w:val="18"/>
        <w:szCs w:val="18"/>
      </w:rPr>
      <w:t xml:space="preserve">   |   Data Science Portfolio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F18C0"/>
    <w:multiLevelType w:val="hybridMultilevel"/>
    <w:tmpl w:val="7954EE28"/>
    <w:lvl w:ilvl="0" w:tplc="2722991E">
      <w:start w:val="1"/>
      <w:numFmt w:val="bullet"/>
      <w:lvlText w:val="•"/>
      <w:lvlJc w:val="left"/>
      <w:pPr>
        <w:ind w:left="720" w:hanging="360"/>
      </w:pPr>
    </w:lvl>
    <w:lvl w:ilvl="1" w:tplc="C2085286">
      <w:numFmt w:val="decimal"/>
      <w:lvlText w:val=""/>
      <w:lvlJc w:val="left"/>
    </w:lvl>
    <w:lvl w:ilvl="2" w:tplc="3DFE9BC2">
      <w:numFmt w:val="decimal"/>
      <w:lvlText w:val=""/>
      <w:lvlJc w:val="left"/>
    </w:lvl>
    <w:lvl w:ilvl="3" w:tplc="003A0446">
      <w:numFmt w:val="decimal"/>
      <w:lvlText w:val=""/>
      <w:lvlJc w:val="left"/>
    </w:lvl>
    <w:lvl w:ilvl="4" w:tplc="445E43E2">
      <w:numFmt w:val="decimal"/>
      <w:lvlText w:val=""/>
      <w:lvlJc w:val="left"/>
    </w:lvl>
    <w:lvl w:ilvl="5" w:tplc="87E24B78">
      <w:numFmt w:val="decimal"/>
      <w:lvlText w:val=""/>
      <w:lvlJc w:val="left"/>
    </w:lvl>
    <w:lvl w:ilvl="6" w:tplc="915ABBF4">
      <w:numFmt w:val="decimal"/>
      <w:lvlText w:val=""/>
      <w:lvlJc w:val="left"/>
    </w:lvl>
    <w:lvl w:ilvl="7" w:tplc="2924C738">
      <w:numFmt w:val="decimal"/>
      <w:lvlText w:val=""/>
      <w:lvlJc w:val="left"/>
    </w:lvl>
    <w:lvl w:ilvl="8" w:tplc="68DADD90">
      <w:numFmt w:val="decimal"/>
      <w:lvlText w:val=""/>
      <w:lvlJc w:val="left"/>
    </w:lvl>
  </w:abstractNum>
  <w:abstractNum w:abstractNumId="1" w15:restartNumberingAfterBreak="0">
    <w:nsid w:val="57B8781C"/>
    <w:multiLevelType w:val="hybridMultilevel"/>
    <w:tmpl w:val="0576BF22"/>
    <w:lvl w:ilvl="0" w:tplc="F6FA8DD2">
      <w:start w:val="1"/>
      <w:numFmt w:val="bullet"/>
      <w:lvlText w:val="●"/>
      <w:lvlJc w:val="left"/>
      <w:pPr>
        <w:ind w:left="720" w:hanging="360"/>
      </w:pPr>
    </w:lvl>
    <w:lvl w:ilvl="1" w:tplc="342A88A2">
      <w:start w:val="1"/>
      <w:numFmt w:val="bullet"/>
      <w:lvlText w:val="○"/>
      <w:lvlJc w:val="left"/>
      <w:pPr>
        <w:ind w:left="1440" w:hanging="360"/>
      </w:pPr>
    </w:lvl>
    <w:lvl w:ilvl="2" w:tplc="2EDCF3DA">
      <w:start w:val="1"/>
      <w:numFmt w:val="bullet"/>
      <w:lvlText w:val="■"/>
      <w:lvlJc w:val="left"/>
      <w:pPr>
        <w:ind w:left="2160" w:hanging="360"/>
      </w:pPr>
    </w:lvl>
    <w:lvl w:ilvl="3" w:tplc="A25ACFF8">
      <w:start w:val="1"/>
      <w:numFmt w:val="bullet"/>
      <w:lvlText w:val="●"/>
      <w:lvlJc w:val="left"/>
      <w:pPr>
        <w:ind w:left="2880" w:hanging="360"/>
      </w:pPr>
    </w:lvl>
    <w:lvl w:ilvl="4" w:tplc="D67CFB8E">
      <w:start w:val="1"/>
      <w:numFmt w:val="bullet"/>
      <w:lvlText w:val="○"/>
      <w:lvlJc w:val="left"/>
      <w:pPr>
        <w:ind w:left="3600" w:hanging="360"/>
      </w:pPr>
    </w:lvl>
    <w:lvl w:ilvl="5" w:tplc="062E658C">
      <w:start w:val="1"/>
      <w:numFmt w:val="bullet"/>
      <w:lvlText w:val="■"/>
      <w:lvlJc w:val="left"/>
      <w:pPr>
        <w:ind w:left="4320" w:hanging="360"/>
      </w:pPr>
    </w:lvl>
    <w:lvl w:ilvl="6" w:tplc="03BE0A90">
      <w:start w:val="1"/>
      <w:numFmt w:val="bullet"/>
      <w:lvlText w:val="●"/>
      <w:lvlJc w:val="left"/>
      <w:pPr>
        <w:ind w:left="5040" w:hanging="360"/>
      </w:pPr>
    </w:lvl>
    <w:lvl w:ilvl="7" w:tplc="AC6C341C">
      <w:start w:val="1"/>
      <w:numFmt w:val="bullet"/>
      <w:lvlText w:val="●"/>
      <w:lvlJc w:val="left"/>
      <w:pPr>
        <w:ind w:left="5760" w:hanging="360"/>
      </w:pPr>
    </w:lvl>
    <w:lvl w:ilvl="8" w:tplc="73786806">
      <w:start w:val="1"/>
      <w:numFmt w:val="bullet"/>
      <w:lvlText w:val="●"/>
      <w:lvlJc w:val="left"/>
      <w:pPr>
        <w:ind w:left="6480" w:hanging="360"/>
      </w:pPr>
    </w:lvl>
  </w:abstractNum>
  <w:abstractNum w:abstractNumId="2" w15:restartNumberingAfterBreak="0">
    <w:nsid w:val="63766B5C"/>
    <w:multiLevelType w:val="hybridMultilevel"/>
    <w:tmpl w:val="8864D6B8"/>
    <w:lvl w:ilvl="0" w:tplc="1A06C964">
      <w:numFmt w:val="bullet"/>
      <w:lvlText w:val="-"/>
      <w:lvlJc w:val="left"/>
      <w:pPr>
        <w:ind w:left="720" w:hanging="360"/>
      </w:pPr>
      <w:rPr>
        <w:rFonts w:ascii="Arial" w:eastAsia="Arial" w:hAnsi="Arial" w:cs="Arial" w:hint="default"/>
        <w:i/>
        <w:color w:val="4755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6570614">
    <w:abstractNumId w:val="1"/>
    <w:lvlOverride w:ilvl="0">
      <w:startOverride w:val="1"/>
    </w:lvlOverride>
  </w:num>
  <w:num w:numId="2" w16cid:durableId="418795161">
    <w:abstractNumId w:val="0"/>
    <w:lvlOverride w:ilvl="0">
      <w:startOverride w:val="1"/>
    </w:lvlOverride>
  </w:num>
  <w:num w:numId="3" w16cid:durableId="18581593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2A1"/>
    <w:rsid w:val="00116EBC"/>
    <w:rsid w:val="00470EC5"/>
    <w:rsid w:val="004E02A1"/>
    <w:rsid w:val="004E58E5"/>
    <w:rsid w:val="00532FD3"/>
    <w:rsid w:val="006A3A5E"/>
    <w:rsid w:val="007335E4"/>
    <w:rsid w:val="007566D7"/>
    <w:rsid w:val="00BF1EEB"/>
    <w:rsid w:val="00CD2603"/>
    <w:rsid w:val="00CE4BA8"/>
    <w:rsid w:val="00CF7FFE"/>
    <w:rsid w:val="00D05943"/>
    <w:rsid w:val="00DA38D4"/>
    <w:rsid w:val="00EC6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EA0BE"/>
  <w15:docId w15:val="{BB766C9C-C7ED-428B-B585-28F2A859D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563E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1765</Words>
  <Characters>10063</Characters>
  <Application>Microsoft Office Word</Application>
  <DocSecurity>0</DocSecurity>
  <Lines>83</Lines>
  <Paragraphs>23</Paragraphs>
  <ScaleCrop>false</ScaleCrop>
  <Company/>
  <LinksUpToDate>false</LinksUpToDate>
  <CharactersWithSpaces>11805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Sidhu, Gurveer S</cp:lastModifiedBy>
  <cp:revision>13</cp:revision>
  <dcterms:created xsi:type="dcterms:W3CDTF">2026-03-18T18:47:00Z</dcterms:created>
  <dcterms:modified xsi:type="dcterms:W3CDTF">2026-03-23T16:05:00Z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3116f996-dd52-42e4-82c2-c17cb277726c</vt:lpwstr>
  </property>
</Properties>
</file>