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Data Science Report</w:t>
      </w:r>
    </w:p>
    <w:p>
      <w:r>
        <w:t>This report covers key findings from our analysis.</w:t>
      </w:r>
    </w:p>
    <w:p>
      <w:pPr>
        <w:pStyle w:val="Heading1"/>
      </w:pPr>
      <w:r>
        <w:t>Methodology</w:t>
      </w:r>
    </w:p>
    <w:p>
      <w:r>
        <w:t>We used XGBoost with SHAP explainability on the Pima Indians dataset.</w:t>
      </w:r>
    </w:p>
    <w:p>
      <w:pPr>
        <w:pStyle w:val="Heading1"/>
      </w:pPr>
      <w:r>
        <w:t>Results</w:t>
      </w:r>
    </w:p>
    <w:p>
      <w:r>
        <w:t>ROC-AUC: 0.8220. Top features: Glucose, BMI, Age.</w:t>
      </w:r>
    </w:p>
    <w:p>
      <w:pPr>
        <w:pStyle w:val="Heading1"/>
      </w:pPr>
      <w:r>
        <w:t>Conclusion</w:t>
      </w:r>
    </w:p>
    <w:p>
      <w:r>
        <w:t>The model achieves clinical-grade performance for diabetes risk prediction.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