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Comprehensive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DINOv3</w:t>
      </w:r>
      <w:r>
        <w:t xml:space="preserve"> </w:t>
      </w:r>
      <w:r>
        <w:t xml:space="preserve">Backbones</w:t>
      </w:r>
      <w:r>
        <w:t xml:space="preserve"> </w:t>
      </w:r>
      <w:r>
        <w:t xml:space="preserve">for</w:t>
      </w:r>
      <w:r>
        <w:t xml:space="preserve"> </w:t>
      </w:r>
      <w:r>
        <w:t xml:space="preserve">Multi‑Modal</w:t>
      </w:r>
      <w:r>
        <w:t xml:space="preserve"> </w:t>
      </w:r>
      <w:r>
        <w:t xml:space="preserve">Neuroscience</w:t>
      </w:r>
      <w:r>
        <w:t xml:space="preserve"> </w:t>
      </w:r>
      <w:r>
        <w:t xml:space="preserve">Imaging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Self‑supervised representation learning has transformed computer vision and</w:t>
      </w:r>
      <w:r>
        <w:t xml:space="preserve"> </w:t>
      </w:r>
      <w:r>
        <w:t xml:space="preserve">is poised to catalyse innovation in neuroscience.</w:t>
      </w:r>
      <w:r>
        <w:t xml:space="preserve"> </w:t>
      </w:r>
      <w:r>
        <w:rPr>
          <w:bCs/>
          <w:b/>
        </w:rPr>
        <w:t xml:space="preserve">DINOv3</w:t>
      </w:r>
      <w:r>
        <w:t xml:space="preserve"> </w:t>
      </w:r>
      <w:r>
        <w:t xml:space="preserve">models</w:t>
      </w:r>
      <w:r>
        <w:t xml:space="preserve"> </w:t>
      </w:r>
      <w:r>
        <w:t xml:space="preserve">introduce gram‑anchored dense embeddings that excel at segmentation,</w:t>
      </w:r>
      <w:r>
        <w:t xml:space="preserve"> </w:t>
      </w:r>
      <w:r>
        <w:t xml:space="preserve">correspondence and open‑vocabulary transfer【289218624359524†L0-L9】. Yet the</w:t>
      </w:r>
      <w:r>
        <w:t xml:space="preserve"> </w:t>
      </w:r>
      <w:r>
        <w:t xml:space="preserve">application of generic vision backbones to domain‑specific neuroimaging</w:t>
      </w:r>
      <w:r>
        <w:t xml:space="preserve"> </w:t>
      </w:r>
      <w:r>
        <w:t xml:space="preserve">remains an open question. This report extends our previous neurOS</w:t>
      </w:r>
      <w:r>
        <w:t xml:space="preserve"> </w:t>
      </w:r>
      <w:r>
        <w:t xml:space="preserve">integration of DINOv3 to evaluate its performance across a diverse</w:t>
      </w:r>
      <w:r>
        <w:t xml:space="preserve"> </w:t>
      </w:r>
      <w:r>
        <w:t xml:space="preserve">spectrum of synthetic datasets inspired by public neuroscience</w:t>
      </w:r>
      <w:r>
        <w:t xml:space="preserve"> </w:t>
      </w:r>
      <w:r>
        <w:t xml:space="preserve">resources. We incorporate modalities approximating electron</w:t>
      </w:r>
      <w:r>
        <w:t xml:space="preserve"> </w:t>
      </w:r>
      <w:r>
        <w:t xml:space="preserve">microscopy (EM), structural magnetic resonance imaging (MRI),</w:t>
      </w:r>
      <w:r>
        <w:t xml:space="preserve"> </w:t>
      </w:r>
      <w:r>
        <w:t xml:space="preserve">haematoxylin–eosin histology, connectomics tracings, anatomical atlas</w:t>
      </w:r>
      <w:r>
        <w:t xml:space="preserve"> </w:t>
      </w:r>
      <w:r>
        <w:t xml:space="preserve">slices and calcium imaging. Using a deterministic placeholder</w:t>
      </w:r>
      <w:r>
        <w:t xml:space="preserve"> </w:t>
      </w:r>
      <w:r>
        <w:t xml:space="preserve">implementation of the</w:t>
      </w:r>
      <w:r>
        <w:t xml:space="preserve"> </w:t>
      </w:r>
      <w:r>
        <w:rPr>
          <w:bCs/>
          <w:b/>
        </w:rPr>
        <w:t xml:space="preserve">ConvNeXt‑Tiny</w:t>
      </w:r>
      <w:r>
        <w:t xml:space="preserve"> </w:t>
      </w:r>
      <w:r>
        <w:t xml:space="preserve">(CNX‑T) and</w:t>
      </w:r>
      <w:r>
        <w:t xml:space="preserve"> </w:t>
      </w:r>
      <w:r>
        <w:rPr>
          <w:bCs/>
          <w:b/>
        </w:rPr>
        <w:t xml:space="preserve">ViT‑Large</w:t>
      </w:r>
      <w:r>
        <w:t xml:space="preserve"> </w:t>
      </w:r>
      <w:r>
        <w:t xml:space="preserve">(ViT‑L)</w:t>
      </w:r>
      <w:r>
        <w:t xml:space="preserve"> </w:t>
      </w:r>
      <w:r>
        <w:t xml:space="preserve">backbones, we assess segmentation accuracy, cross‑modality</w:t>
      </w:r>
      <w:r>
        <w:t xml:space="preserve"> </w:t>
      </w:r>
      <w:r>
        <w:t xml:space="preserve">generalisation and translation‑based registration. The experiments are</w:t>
      </w:r>
      <w:r>
        <w:t xml:space="preserve"> </w:t>
      </w:r>
      <w:r>
        <w:t xml:space="preserve">packaged in an educational Jupyter notebook and integrated into the</w:t>
      </w:r>
      <w:r>
        <w:t xml:space="preserve"> </w:t>
      </w:r>
      <w:r>
        <w:t xml:space="preserve">neurOS framework. We further discuss how these experiments could be</w:t>
      </w:r>
      <w:r>
        <w:t xml:space="preserve"> </w:t>
      </w:r>
      <w:r>
        <w:t xml:space="preserve">extended to real datasets such as the Allen Mouse Brain Atlas【729289557348645†L38-L68】, the</w:t>
      </w:r>
      <w:r>
        <w:t xml:space="preserve"> </w:t>
      </w:r>
      <w:r>
        <w:t xml:space="preserve">OASIS‑3 MRI collection【150629382609079†L3474-L3485】, SNEMI3D electron microscopy</w:t>
      </w:r>
      <w:r>
        <w:t xml:space="preserve"> </w:t>
      </w:r>
      <w:r>
        <w:t xml:space="preserve">stacks【121880545815582†L55-L73】 and the Neurofinder calcium imaging benchmark【627581280724952†L427-L435】.</w:t>
      </w:r>
    </w:p>
    <w:p>
      <w:pPr>
        <w:pStyle w:val="BodyText"/>
      </w:pPr>
      <w:r>
        <w:t xml:space="preserve">Our results show that synthetic EM and histology tasks achieve high</w:t>
      </w:r>
      <w:r>
        <w:t xml:space="preserve"> </w:t>
      </w:r>
      <w:r>
        <w:t xml:space="preserve">segmentation accuracy and F1 score for both backbones, while MRI and</w:t>
      </w:r>
      <w:r>
        <w:t xml:space="preserve"> </w:t>
      </w:r>
      <w:r>
        <w:t xml:space="preserve">atlas modalities are more challenging. Cross‑modality generalisation</w:t>
      </w:r>
      <w:r>
        <w:t xml:space="preserve"> </w:t>
      </w:r>
      <w:r>
        <w:t xml:space="preserve">is limited but non‑zero; training on EM or connectomics generalises</w:t>
      </w:r>
      <w:r>
        <w:t xml:space="preserve"> </w:t>
      </w:r>
      <w:r>
        <w:t xml:space="preserve">reasonably well to histology and calcium imaging. Registration via</w:t>
      </w:r>
      <w:r>
        <w:t xml:space="preserve"> </w:t>
      </w:r>
      <w:r>
        <w:t xml:space="preserve">patch correlations recovers coarse translations but remains sensitive</w:t>
      </w:r>
      <w:r>
        <w:t xml:space="preserve"> </w:t>
      </w:r>
      <w:r>
        <w:t xml:space="preserve">to noise. We conclude that neurOS provides a flexible platform for</w:t>
      </w:r>
      <w:r>
        <w:t xml:space="preserve"> </w:t>
      </w:r>
      <w:r>
        <w:t xml:space="preserve">evaluating representation learning across modalities and outline</w:t>
      </w:r>
      <w:r>
        <w:t xml:space="preserve"> </w:t>
      </w:r>
      <w:r>
        <w:t xml:space="preserve">directions for future work using real DINOv3 weights and public</w:t>
      </w:r>
      <w:r>
        <w:t xml:space="preserve"> </w:t>
      </w:r>
      <w:r>
        <w:t xml:space="preserve">datasets. All code and the long‑form paper (available in PDF) are</w:t>
      </w:r>
      <w:r>
        <w:t xml:space="preserve"> </w:t>
      </w:r>
      <w:r>
        <w:t xml:space="preserve">provided as part of the repository.</w:t>
      </w:r>
    </w:p>
    <w:bookmarkEnd w:id="20"/>
    <w:bookmarkStart w:id="24" w:name="introduction"/>
    <w:p>
      <w:pPr>
        <w:pStyle w:val="Heading2"/>
      </w:pPr>
      <w:r>
        <w:t xml:space="preserve">1. Introduction</w:t>
      </w:r>
    </w:p>
    <w:bookmarkStart w:id="21" w:name="X0cf06650d1b73e668fcc62bc67609db96ace381"/>
    <w:p>
      <w:pPr>
        <w:pStyle w:val="Heading3"/>
      </w:pPr>
      <w:r>
        <w:t xml:space="preserve">1.1. The promise of self‑supervised vision models in neuroscience</w:t>
      </w:r>
    </w:p>
    <w:p>
      <w:pPr>
        <w:pStyle w:val="FirstParagraph"/>
      </w:pPr>
      <w:r>
        <w:t xml:space="preserve">Neuroscience produces a tremendous variety of imaging data. Electron</w:t>
      </w:r>
      <w:r>
        <w:t xml:space="preserve"> </w:t>
      </w:r>
      <w:r>
        <w:t xml:space="preserve">microscopy (EM) resolves synaptic ultrastructure; structural MRI</w:t>
      </w:r>
      <w:r>
        <w:t xml:space="preserve"> </w:t>
      </w:r>
      <w:r>
        <w:t xml:space="preserve">captures the macroscopic organisation of the brain; histological slides</w:t>
      </w:r>
      <w:r>
        <w:t xml:space="preserve"> </w:t>
      </w:r>
      <w:r>
        <w:t xml:space="preserve">reveal cell types and pathological features; connectomic tracings map</w:t>
      </w:r>
      <w:r>
        <w:t xml:space="preserve"> </w:t>
      </w:r>
      <w:r>
        <w:t xml:space="preserve">neurite pathways; anatomical atlases provide contextual landmarks; and</w:t>
      </w:r>
      <w:r>
        <w:t xml:space="preserve"> </w:t>
      </w:r>
      <w:r>
        <w:t xml:space="preserve">calcium or voltage imaging records neural activity dynamics. These</w:t>
      </w:r>
      <w:r>
        <w:t xml:space="preserve"> </w:t>
      </w:r>
      <w:r>
        <w:t xml:space="preserve">modalities differ dramatically in resolution, contrast, staining,</w:t>
      </w:r>
      <w:r>
        <w:t xml:space="preserve"> </w:t>
      </w:r>
      <w:r>
        <w:t xml:space="preserve">dimensionality and noise characteristics. Despite this diversity,</w:t>
      </w:r>
      <w:r>
        <w:t xml:space="preserve"> </w:t>
      </w:r>
      <w:r>
        <w:t xml:space="preserve">analysing neuroimaging data often reduces to common tasks: segmenting</w:t>
      </w:r>
      <w:r>
        <w:t xml:space="preserve"> </w:t>
      </w:r>
      <w:r>
        <w:t xml:space="preserve">regions of interest, registering slices to build three‑dimensional</w:t>
      </w:r>
      <w:r>
        <w:t xml:space="preserve"> </w:t>
      </w:r>
      <w:r>
        <w:t xml:space="preserve">volumes, and tracking structures across time. Historically such</w:t>
      </w:r>
      <w:r>
        <w:t xml:space="preserve"> </w:t>
      </w:r>
      <w:r>
        <w:t xml:space="preserve">tasks relied on hand‑engineered features or supervised deep networks</w:t>
      </w:r>
      <w:r>
        <w:t xml:space="preserve"> </w:t>
      </w:r>
      <w:r>
        <w:t xml:space="preserve">trained from scratch on specific datasets. The recent success of</w:t>
      </w:r>
      <w:r>
        <w:t xml:space="preserve"> </w:t>
      </w:r>
      <w:r>
        <w:t xml:space="preserve">self‑supervised vision models suggests that universal representations</w:t>
      </w:r>
      <w:r>
        <w:t xml:space="preserve"> </w:t>
      </w:r>
      <w:r>
        <w:t xml:space="preserve">could generalise across domains and tasks. Indeed, DINOv3 models</w:t>
      </w:r>
      <w:r>
        <w:t xml:space="preserve"> </w:t>
      </w:r>
      <w:r>
        <w:t xml:space="preserve">achieved state‑of‑the‑art linear probe segmentation and strong</w:t>
      </w:r>
      <w:r>
        <w:t xml:space="preserve"> </w:t>
      </w:r>
      <w:r>
        <w:t xml:space="preserve">correspondence signals by distilling a 7B‑parameter teacher into</w:t>
      </w:r>
      <w:r>
        <w:t xml:space="preserve"> </w:t>
      </w:r>
      <w:r>
        <w:t xml:space="preserve">efficient Vision Transformer (ViT) and ConvNeXt backbones【289218624359524†L0-L9】. The</w:t>
      </w:r>
      <w:r>
        <w:t xml:space="preserve"> </w:t>
      </w:r>
      <w:r>
        <w:t xml:space="preserve">models range from Tiny to Huge, offering a spectrum of trade‑offs</w:t>
      </w:r>
      <w:r>
        <w:t xml:space="preserve"> </w:t>
      </w:r>
      <w:r>
        <w:t xml:space="preserve">between quality and efficiency, and include variants aligned to text for</w:t>
      </w:r>
      <w:r>
        <w:t xml:space="preserve"> </w:t>
      </w:r>
      <w:r>
        <w:t xml:space="preserve">open‑vocabulary querying.</w:t>
      </w:r>
    </w:p>
    <w:bookmarkEnd w:id="21"/>
    <w:bookmarkStart w:id="22" w:name="Xebf8ba83620749a12f451bd5fd5fa4215e1c4c0"/>
    <w:p>
      <w:pPr>
        <w:pStyle w:val="Heading3"/>
      </w:pPr>
      <w:r>
        <w:t xml:space="preserve">1.2. neurOS: a modular platform for neuroscience and BCI</w:t>
      </w:r>
    </w:p>
    <w:p>
      <w:pPr>
        <w:pStyle w:val="FirstParagraph"/>
      </w:pPr>
      <w:r>
        <w:t xml:space="preserve">To experiment with emerging vision models, we use</w:t>
      </w:r>
      <w:r>
        <w:t xml:space="preserve"> </w:t>
      </w:r>
      <w:r>
        <w:rPr>
          <w:bCs/>
          <w:b/>
        </w:rPr>
        <w:t xml:space="preserve">neurOS</w:t>
      </w:r>
      <w:r>
        <w:t xml:space="preserve">, an open</w:t>
      </w:r>
      <w:r>
        <w:t xml:space="preserve"> </w:t>
      </w:r>
      <w:r>
        <w:t xml:space="preserve">framework designed for brain–computer interface (BCI) research and</w:t>
      </w:r>
      <w:r>
        <w:t xml:space="preserve"> </w:t>
      </w:r>
      <w:r>
        <w:t xml:space="preserve">neuroimaging analysis. neurOS abstracts sensors, algorithms and</w:t>
      </w:r>
      <w:r>
        <w:t xml:space="preserve"> </w:t>
      </w:r>
      <w:r>
        <w:t xml:space="preserve">visualisation into plugins that can be combined in pipelines.</w:t>
      </w:r>
      <w:r>
        <w:t xml:space="preserve"> </w:t>
      </w:r>
      <w:r>
        <w:t xml:space="preserve">Earlier work integrated a deterministic placeholder version of the</w:t>
      </w:r>
      <w:r>
        <w:t xml:space="preserve"> </w:t>
      </w:r>
      <w:r>
        <w:t xml:space="preserve">DINOv3 backbone (see Section 3) into the</w:t>
      </w:r>
      <w:r>
        <w:t xml:space="preserve"> </w:t>
      </w:r>
      <w:r>
        <w:rPr>
          <w:rStyle w:val="VerbatimChar"/>
        </w:rPr>
        <w:t xml:space="preserve">neuros.plugins.cv</w:t>
      </w:r>
      <w:r>
        <w:t xml:space="preserve"> </w:t>
      </w:r>
      <w:r>
        <w:t xml:space="preserve">module and</w:t>
      </w:r>
      <w:r>
        <w:t xml:space="preserve"> </w:t>
      </w:r>
      <w:r>
        <w:t xml:space="preserve">provided a demonstration notebook for EM, MRI and histology. In this</w:t>
      </w:r>
      <w:r>
        <w:t xml:space="preserve"> </w:t>
      </w:r>
      <w:r>
        <w:t xml:space="preserve">report we significantly extend both the methodology and the analysis.</w:t>
      </w:r>
      <w:r>
        <w:t xml:space="preserve"> </w:t>
      </w:r>
      <w:r>
        <w:t xml:space="preserve">We synthesise additional modalities, design experiments for</w:t>
      </w:r>
      <w:r>
        <w:t xml:space="preserve"> </w:t>
      </w:r>
      <w:r>
        <w:t xml:space="preserve">cross‑modality generalisation and registration, and produce a</w:t>
      </w:r>
      <w:r>
        <w:t xml:space="preserve"> </w:t>
      </w:r>
      <w:r>
        <w:t xml:space="preserve">publication‑ready manuscript along with educational notebooks and code.</w:t>
      </w:r>
    </w:p>
    <w:bookmarkEnd w:id="22"/>
    <w:bookmarkStart w:id="23" w:name="contributions"/>
    <w:p>
      <w:pPr>
        <w:pStyle w:val="Heading3"/>
      </w:pPr>
      <w:r>
        <w:t xml:space="preserve">1.3. Contributions</w:t>
      </w:r>
    </w:p>
    <w:p>
      <w:pPr>
        <w:pStyle w:val="FirstParagraph"/>
      </w:pPr>
      <w:r>
        <w:t xml:space="preserve">This study makes the following contributions: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Expanded dataset coverage.</w:t>
      </w:r>
      <w:r>
        <w:t xml:space="preserve"> </w:t>
      </w:r>
      <w:r>
        <w:t xml:space="preserve">We design synthetic datasets that</w:t>
      </w:r>
      <w:r>
        <w:t xml:space="preserve"> </w:t>
      </w:r>
      <w:r>
        <w:t xml:space="preserve">approximate six neuroimaging modalities: EM, MRI, histology,</w:t>
      </w:r>
      <w:r>
        <w:t xml:space="preserve"> </w:t>
      </w:r>
      <w:r>
        <w:t xml:space="preserve">connectomics, atlas and calcium imaging. The designs are inspired by</w:t>
      </w:r>
      <w:r>
        <w:t xml:space="preserve"> </w:t>
      </w:r>
      <w:r>
        <w:t xml:space="preserve">public resources such as the SNEMI3D connectomics challenge—which</w:t>
      </w:r>
      <w:r>
        <w:t xml:space="preserve"> </w:t>
      </w:r>
      <w:r>
        <w:t xml:space="preserve">provides anisotropic stacks of EM images with expert neurite</w:t>
      </w:r>
      <w:r>
        <w:t xml:space="preserve"> </w:t>
      </w:r>
      <w:r>
        <w:t xml:space="preserve">annotations【121880545815582†L55-L73】—the Allen Mouse Brain Atlas</w:t>
      </w:r>
      <w:r>
        <w:t xml:space="preserve"> </w:t>
      </w:r>
      <w:r>
        <w:t xml:space="preserve">(1 675 brains registered into 132 coronal sections【729289557348645†L38-L68】), the</w:t>
      </w:r>
      <w:r>
        <w:t xml:space="preserve"> </w:t>
      </w:r>
      <w:r>
        <w:t xml:space="preserve">OASIS‑3 longitudinal MRI dataset (2 842 MR sessions across T1w, T2w,</w:t>
      </w:r>
      <w:r>
        <w:t xml:space="preserve"> </w:t>
      </w:r>
      <w:r>
        <w:t xml:space="preserve">FLAIR, ASL, SWI and more【150629382609079†L3474-L3485】) and the Neurofinder</w:t>
      </w:r>
      <w:r>
        <w:t xml:space="preserve"> </w:t>
      </w:r>
      <w:r>
        <w:t xml:space="preserve">calcium imaging challenge【627581280724952†L427-L435】. Our synthetic data capture</w:t>
      </w:r>
      <w:r>
        <w:t xml:space="preserve"> </w:t>
      </w:r>
      <w:r>
        <w:t xml:space="preserve">salient structural motifs while being computationally lightweight.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Systematic evaluation.</w:t>
      </w:r>
      <w:r>
        <w:t xml:space="preserve"> </w:t>
      </w:r>
      <w:r>
        <w:t xml:space="preserve">We benchmark two DINOv3 backbones—</w:t>
      </w:r>
      <w:r>
        <w:t xml:space="preserve"> </w:t>
      </w:r>
      <w:r>
        <w:t xml:space="preserve">ConvNeXt‑Tiny (CNX‑T) and ViT‑Large (ViT‑L)—on segmentation, cross</w:t>
      </w:r>
      <w:r>
        <w:t xml:space="preserve"> </w:t>
      </w:r>
      <w:r>
        <w:t xml:space="preserve">generalisation and registration tasks. We train simple logistic</w:t>
      </w:r>
      <w:r>
        <w:t xml:space="preserve"> </w:t>
      </w:r>
      <w:r>
        <w:t xml:space="preserve">regression heads on patch embeddings and quantify performance via</w:t>
      </w:r>
      <w:r>
        <w:t xml:space="preserve"> </w:t>
      </w:r>
      <w:r>
        <w:t xml:space="preserve">accuracy and F1 scores. To test registration we shift images by</w:t>
      </w:r>
      <w:r>
        <w:t xml:space="preserve"> </w:t>
      </w:r>
      <w:r>
        <w:t xml:space="preserve">multiples of the patch size and estimate translations via patch</w:t>
      </w:r>
      <w:r>
        <w:t xml:space="preserve"> </w:t>
      </w:r>
      <w:r>
        <w:t xml:space="preserve">correlations and median offsets.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Educational resources.</w:t>
      </w:r>
      <w:r>
        <w:t xml:space="preserve"> </w:t>
      </w:r>
      <w:r>
        <w:t xml:space="preserve">We generate a Jupyter notebook</w:t>
      </w:r>
      <w:r>
        <w:t xml:space="preserve"> </w:t>
      </w:r>
      <w:r>
        <w:t xml:space="preserve">(</w:t>
      </w:r>
      <w:r>
        <w:rPr>
          <w:rStyle w:val="VerbatimChar"/>
        </w:rPr>
        <w:t xml:space="preserve">dino_extended_experiments.ipynb</w:t>
      </w:r>
      <w:r>
        <w:t xml:space="preserve">) that reproduces all experiments.</w:t>
      </w:r>
      <w:r>
        <w:t xml:space="preserve"> </w:t>
      </w:r>
      <w:r>
        <w:t xml:space="preserve">The notebook emphasises clarity and modularity, making it suitable</w:t>
      </w:r>
      <w:r>
        <w:t xml:space="preserve"> </w:t>
      </w:r>
      <w:r>
        <w:t xml:space="preserve">for pedagogy and reproducibility. Additional Python modules</w:t>
      </w:r>
      <w:r>
        <w:t xml:space="preserve"> </w:t>
      </w:r>
      <w:r>
        <w:t xml:space="preserve">implement dataset generation and feature matching and integrate with</w:t>
      </w:r>
      <w:r>
        <w:t xml:space="preserve"> </w:t>
      </w:r>
      <w:r>
        <w:t xml:space="preserve">neurOS. Finally, we provide a 20‑page manuscript (this document) and</w:t>
      </w:r>
      <w:r>
        <w:t xml:space="preserve"> </w:t>
      </w:r>
      <w:r>
        <w:t xml:space="preserve">a PDF version located in</w:t>
      </w:r>
      <w:r>
        <w:t xml:space="preserve"> </w:t>
      </w:r>
      <w:r>
        <w:rPr>
          <w:rStyle w:val="VerbatimChar"/>
        </w:rPr>
        <w:t xml:space="preserve">docs/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Guidelines for future work.</w:t>
      </w:r>
      <w:r>
        <w:t xml:space="preserve"> </w:t>
      </w:r>
      <w:r>
        <w:t xml:space="preserve">Based on our results we discuss</w:t>
      </w:r>
      <w:r>
        <w:t xml:space="preserve"> </w:t>
      </w:r>
      <w:r>
        <w:t xml:space="preserve">how to scale experiments to real datasets. We outline strategies for</w:t>
      </w:r>
      <w:r>
        <w:t xml:space="preserve"> </w:t>
      </w:r>
      <w:r>
        <w:t xml:space="preserve">leveraging the full DINOv3 models on the Allen Mouse Brain Atlas, the</w:t>
      </w:r>
      <w:r>
        <w:t xml:space="preserve"> </w:t>
      </w:r>
      <w:r>
        <w:t xml:space="preserve">OASIS‑3 cohort, SNEMI3D, Neurofinder and other public datasets, and</w:t>
      </w:r>
      <w:r>
        <w:t xml:space="preserve"> </w:t>
      </w:r>
      <w:r>
        <w:t xml:space="preserve">highlight open challenges in cross‑modality transfer and open</w:t>
      </w:r>
      <w:r>
        <w:t xml:space="preserve"> </w:t>
      </w:r>
      <w:r>
        <w:t xml:space="preserve">vocabulary segmentation.</w:t>
      </w:r>
    </w:p>
    <w:bookmarkEnd w:id="23"/>
    <w:bookmarkEnd w:id="24"/>
    <w:bookmarkStart w:id="28" w:name="background"/>
    <w:p>
      <w:pPr>
        <w:pStyle w:val="Heading2"/>
      </w:pPr>
      <w:r>
        <w:t xml:space="preserve">2. Background</w:t>
      </w:r>
    </w:p>
    <w:bookmarkStart w:id="25" w:name="selfsupervised-vision-and-dinov3"/>
    <w:p>
      <w:pPr>
        <w:pStyle w:val="Heading3"/>
      </w:pPr>
      <w:r>
        <w:t xml:space="preserve">2.1. Self‑supervised vision and DINOv3</w:t>
      </w:r>
    </w:p>
    <w:p>
      <w:pPr>
        <w:pStyle w:val="FirstParagraph"/>
      </w:pPr>
      <w:r>
        <w:t xml:space="preserve">Self‑supervised learning aims to extract informative features from</w:t>
      </w:r>
      <w:r>
        <w:t xml:space="preserve"> </w:t>
      </w:r>
      <w:r>
        <w:t xml:space="preserve">unlabelled data by solving proxy tasks such as image reconstruction</w:t>
      </w:r>
      <w:r>
        <w:t xml:space="preserve"> </w:t>
      </w:r>
      <w:r>
        <w:t xml:space="preserve">and contrastive alignment. DINOv3 builds upon earlier versions of</w:t>
      </w:r>
      <w:r>
        <w:t xml:space="preserve"> </w:t>
      </w:r>
      <w:r>
        <w:t xml:space="preserve">Distillation with No Labels (DINO) and introduces two key innovations: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Gram anchoring.</w:t>
      </w:r>
      <w:r>
        <w:t xml:space="preserve"> </w:t>
      </w:r>
      <w:r>
        <w:t xml:space="preserve">The student network is forced to match not</w:t>
      </w:r>
      <w:r>
        <w:t xml:space="preserve"> </w:t>
      </w:r>
      <w:r>
        <w:t xml:space="preserve">only the teacher’s output but also its intra‑feature Gram matrix.</w:t>
      </w:r>
      <w:r>
        <w:t xml:space="preserve"> </w:t>
      </w:r>
      <w:r>
        <w:t xml:space="preserve">This encourages the student to preserve pairwise relationships</w:t>
      </w:r>
      <w:r>
        <w:t xml:space="preserve"> </w:t>
      </w:r>
      <w:r>
        <w:t xml:space="preserve">between patches and stabilises training for large models【289218624359524†L0-L9】.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Correspondence regularisation.</w:t>
      </w:r>
      <w:r>
        <w:t xml:space="preserve"> </w:t>
      </w:r>
      <w:r>
        <w:t xml:space="preserve">A locally supervised loss is</w:t>
      </w:r>
      <w:r>
        <w:t xml:space="preserve"> </w:t>
      </w:r>
      <w:r>
        <w:t xml:space="preserve">added that encourages matching between patches of two crops of the</w:t>
      </w:r>
      <w:r>
        <w:t xml:space="preserve"> </w:t>
      </w:r>
      <w:r>
        <w:t xml:space="preserve">same image. This provides strong signals for dense prediction and</w:t>
      </w:r>
      <w:r>
        <w:t xml:space="preserve"> </w:t>
      </w:r>
      <w:r>
        <w:t xml:space="preserve">correspondence tasks【289218624359524†L0-L9】.</w:t>
      </w:r>
    </w:p>
    <w:p>
      <w:pPr>
        <w:pStyle w:val="FirstParagraph"/>
      </w:pPr>
      <w:r>
        <w:t xml:space="preserve">The resulting models achieve state‑of‑the‑art segmentation mIoU with</w:t>
      </w:r>
      <w:r>
        <w:t xml:space="preserve"> </w:t>
      </w:r>
      <w:r>
        <w:t xml:space="preserve">linear probes and exhibit robust 3D view matching. They come in a</w:t>
      </w:r>
      <w:r>
        <w:t xml:space="preserve"> </w:t>
      </w:r>
      <w:r>
        <w:t xml:space="preserve">family of architectures: ViT‑Small, ViT‑Base, ViT‑Large, ViT‑Huge and</w:t>
      </w:r>
      <w:r>
        <w:t xml:space="preserve"> </w:t>
      </w:r>
      <w:r>
        <w:t xml:space="preserve">their ConvNeXt counterparts. ConvNeXt variants trade some peak</w:t>
      </w:r>
      <w:r>
        <w:t xml:space="preserve"> </w:t>
      </w:r>
      <w:r>
        <w:t xml:space="preserve">performance for improved efficiency and out‑of‑distribution</w:t>
      </w:r>
      <w:r>
        <w:t xml:space="preserve"> </w:t>
      </w:r>
      <w:r>
        <w:t xml:space="preserve">generalisation. A separate text‑aligned model (dino.txt) aligns image</w:t>
      </w:r>
      <w:r>
        <w:t xml:space="preserve"> </w:t>
      </w:r>
      <w:r>
        <w:t xml:space="preserve">features with CLIP‑style text embeddings for open vocabulary queries.</w:t>
      </w:r>
    </w:p>
    <w:bookmarkEnd w:id="25"/>
    <w:bookmarkStart w:id="26" w:name="neuroscience-imaging-modalities"/>
    <w:p>
      <w:pPr>
        <w:pStyle w:val="Heading3"/>
      </w:pPr>
      <w:r>
        <w:t xml:space="preserve">2.2. Neuroscience imaging modalities</w:t>
      </w:r>
    </w:p>
    <w:p>
      <w:pPr>
        <w:pStyle w:val="FirstParagraph"/>
      </w:pPr>
      <w:r>
        <w:t xml:space="preserve">This work focuses on six modalities, each with unique characteristics.</w:t>
      </w:r>
      <w:r>
        <w:t xml:space="preserve"> </w:t>
      </w:r>
      <w:r>
        <w:t xml:space="preserve">Below we describe the real‑world counterparts that inspire our</w:t>
      </w:r>
      <w:r>
        <w:t xml:space="preserve"> </w:t>
      </w:r>
      <w:r>
        <w:t xml:space="preserve">synthetic datasets.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Electron microscopy (EM).</w:t>
      </w:r>
      <w:r>
        <w:t xml:space="preserve"> </w:t>
      </w:r>
      <w:r>
        <w:t xml:space="preserve">EM provides nanometre resolution of</w:t>
      </w:r>
      <w:r>
        <w:t xml:space="preserve"> </w:t>
      </w:r>
      <w:r>
        <w:t xml:space="preserve">cellular ultrastructure. Serial section and blockface techniques</w:t>
      </w:r>
      <w:r>
        <w:t xml:space="preserve"> </w:t>
      </w:r>
      <w:r>
        <w:t xml:space="preserve">produce three‑dimensional volumes. The SNEMI3D challenge, for</w:t>
      </w:r>
      <w:r>
        <w:t xml:space="preserve"> </w:t>
      </w:r>
      <w:r>
        <w:t xml:space="preserve">example, provides anisotropic stacks of mouse cortex EM images,</w:t>
      </w:r>
      <w:r>
        <w:t xml:space="preserve"> </w:t>
      </w:r>
      <w:r>
        <w:t xml:space="preserve">manual neurite delineations and holds out labels for a test set【121880545815582†L55-L73】.</w:t>
      </w:r>
      <w:r>
        <w:t xml:space="preserve"> </w:t>
      </w:r>
      <w:r>
        <w:t xml:space="preserve">Reconstructing dense connectomes requires accurate membrane</w:t>
      </w:r>
      <w:r>
        <w:t xml:space="preserve"> </w:t>
      </w:r>
      <w:r>
        <w:t xml:space="preserve">segmentation and cross‑section alignment.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Structural MRI.</w:t>
      </w:r>
      <w:r>
        <w:t xml:space="preserve"> </w:t>
      </w:r>
      <w:r>
        <w:t xml:space="preserve">MRI offers non‑invasive imaging of brain tissue</w:t>
      </w:r>
      <w:r>
        <w:t xml:space="preserve"> </w:t>
      </w:r>
      <w:r>
        <w:t xml:space="preserve">at millimetre resolution. The OASIS‑3 dataset compiles T1w, T2w,</w:t>
      </w:r>
      <w:r>
        <w:t xml:space="preserve"> </w:t>
      </w:r>
      <w:r>
        <w:t xml:space="preserve">FLAIR, arterial spin labelling (ASL), susceptibility weighted imaging</w:t>
      </w:r>
      <w:r>
        <w:t xml:space="preserve"> </w:t>
      </w:r>
      <w:r>
        <w:t xml:space="preserve">(SWI), time‑of‑flight angiography, resting BOLD fMRI and diffusion</w:t>
      </w:r>
      <w:r>
        <w:t xml:space="preserve"> </w:t>
      </w:r>
      <w:r>
        <w:t xml:space="preserve">imaging for 1 378 participants across 2 842 sessions【150629382609079†L3474-L3485】.</w:t>
      </w:r>
      <w:r>
        <w:t xml:space="preserve"> </w:t>
      </w:r>
      <w:r>
        <w:t xml:space="preserve">Longitudinal scans enable studying aging and neurodegeneration. Our</w:t>
      </w:r>
      <w:r>
        <w:t xml:space="preserve"> </w:t>
      </w:r>
      <w:r>
        <w:t xml:space="preserve">synthetic MRI slices mimic a smooth background with a central lesion.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Histology.</w:t>
      </w:r>
      <w:r>
        <w:t xml:space="preserve"> </w:t>
      </w:r>
      <w:r>
        <w:t xml:space="preserve">Histological analysis uses stains such as</w:t>
      </w:r>
      <w:r>
        <w:t xml:space="preserve"> </w:t>
      </w:r>
      <w:r>
        <w:t xml:space="preserve">haematoxylin and eosin (H&amp;E) to visualise nuclei and cytoplasm.</w:t>
      </w:r>
      <w:r>
        <w:t xml:space="preserve"> </w:t>
      </w:r>
      <w:r>
        <w:t xml:space="preserve">Projects like The Cancer Genome Atlas (TCGA) release whole‑slide</w:t>
      </w:r>
      <w:r>
        <w:t xml:space="preserve"> </w:t>
      </w:r>
      <w:r>
        <w:t xml:space="preserve">images of tumours. Our synthetic histology tiles feature a mottled</w:t>
      </w:r>
      <w:r>
        <w:t xml:space="preserve"> </w:t>
      </w:r>
      <w:r>
        <w:t xml:space="preserve">pink background with dark nuclei. Real histology segmentation often</w:t>
      </w:r>
      <w:r>
        <w:t xml:space="preserve"> </w:t>
      </w:r>
      <w:r>
        <w:t xml:space="preserve">requires handling variations in staining, fixation and scanner</w:t>
      </w:r>
      <w:r>
        <w:t xml:space="preserve"> </w:t>
      </w:r>
      <w:r>
        <w:t xml:space="preserve">artefacts.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Connectomics.</w:t>
      </w:r>
      <w:r>
        <w:t xml:space="preserve"> </w:t>
      </w:r>
      <w:r>
        <w:t xml:space="preserve">Beyond EM, connectomics includes light‑microscopy</w:t>
      </w:r>
      <w:r>
        <w:t xml:space="preserve"> </w:t>
      </w:r>
      <w:r>
        <w:t xml:space="preserve">tracing of long axons and dendrites. Filamentous structures span</w:t>
      </w:r>
      <w:r>
        <w:t xml:space="preserve"> </w:t>
      </w:r>
      <w:r>
        <w:t xml:space="preserve">large fields of view; tracking them requires capturing elongated</w:t>
      </w:r>
      <w:r>
        <w:t xml:space="preserve"> </w:t>
      </w:r>
      <w:r>
        <w:t xml:space="preserve">trajectories. The CREMI challenge and SNEMI3D emphasise neurite</w:t>
      </w:r>
      <w:r>
        <w:t xml:space="preserve"> </w:t>
      </w:r>
      <w:r>
        <w:t xml:space="preserve">segmentation and stitching across sections【121880545815582†L55-L73】.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Anatomical atlases.</w:t>
      </w:r>
      <w:r>
        <w:t xml:space="preserve"> </w:t>
      </w:r>
      <w:r>
        <w:t xml:space="preserve">Standardised atlases provide reference</w:t>
      </w:r>
      <w:r>
        <w:t xml:space="preserve"> </w:t>
      </w:r>
      <w:r>
        <w:t xml:space="preserve">coordinate systems for brain areas. The Allen Mouse Brain Atlas</w:t>
      </w:r>
      <w:r>
        <w:t xml:space="preserve"> </w:t>
      </w:r>
      <w:r>
        <w:t xml:space="preserve">averages 1 675 adult mouse brains into a common space and distributes</w:t>
      </w:r>
      <w:r>
        <w:t xml:space="preserve"> </w:t>
      </w:r>
      <w:r>
        <w:t xml:space="preserve">132 coronal Nissl sections at 100 µm intervals【729289557348645†L38-L68】. These</w:t>
      </w:r>
      <w:r>
        <w:t xml:space="preserve"> </w:t>
      </w:r>
      <w:r>
        <w:t xml:space="preserve">maps contextualise gene expression and tracer data. Our synthetic</w:t>
      </w:r>
      <w:r>
        <w:t xml:space="preserve"> </w:t>
      </w:r>
      <w:r>
        <w:t xml:space="preserve">atlas images depict layered stripes and elliptical regions.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Calcium imaging.</w:t>
      </w:r>
      <w:r>
        <w:t xml:space="preserve"> </w:t>
      </w:r>
      <w:r>
        <w:t xml:space="preserve">Calcium indicators report neuronal activity via</w:t>
      </w:r>
      <w:r>
        <w:t xml:space="preserve"> </w:t>
      </w:r>
      <w:r>
        <w:t xml:space="preserve">changes in fluorescence. Two‑photon and mesoscopic microscopes</w:t>
      </w:r>
      <w:r>
        <w:t xml:space="preserve"> </w:t>
      </w:r>
      <w:r>
        <w:t xml:space="preserve">record populations across cortical areas. The Neurofinder challenge</w:t>
      </w:r>
      <w:r>
        <w:t xml:space="preserve"> </w:t>
      </w:r>
      <w:r>
        <w:t xml:space="preserve">assembles two‑photon videos from multiple brain regions and</w:t>
      </w:r>
      <w:r>
        <w:t xml:space="preserve"> </w:t>
      </w:r>
      <w:r>
        <w:t xml:space="preserve">laboratories; images are annotated by experienced raters【627581280724952†L427-L435】. Our</w:t>
      </w:r>
      <w:r>
        <w:t xml:space="preserve"> </w:t>
      </w:r>
      <w:r>
        <w:t xml:space="preserve">synthetic calcium frames consist of random bright blobs representing</w:t>
      </w:r>
      <w:r>
        <w:t xml:space="preserve"> </w:t>
      </w:r>
      <w:r>
        <w:t xml:space="preserve">active neurons.</w:t>
      </w:r>
    </w:p>
    <w:bookmarkEnd w:id="26"/>
    <w:bookmarkStart w:id="27" w:name="public-datasets-referenced"/>
    <w:p>
      <w:pPr>
        <w:pStyle w:val="Heading3"/>
      </w:pPr>
      <w:r>
        <w:t xml:space="preserve">2.3. Public datasets referenced</w:t>
      </w:r>
    </w:p>
    <w:p>
      <w:pPr>
        <w:pStyle w:val="FirstParagraph"/>
      </w:pPr>
      <w:r>
        <w:t xml:space="preserve">The experiments in this paper are synthetic but inspired by real</w:t>
      </w:r>
      <w:r>
        <w:t xml:space="preserve"> </w:t>
      </w:r>
      <w:r>
        <w:t xml:space="preserve">datasets. We briefly summarise the resources we aim to emulate and</w:t>
      </w:r>
      <w:r>
        <w:t xml:space="preserve"> </w:t>
      </w:r>
      <w:r>
        <w:t xml:space="preserve">provide citations for future reference.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Allen Mouse Brain Atlas (AMBA).</w:t>
      </w:r>
      <w:r>
        <w:t xml:space="preserve"> </w:t>
      </w:r>
      <w:r>
        <w:t xml:space="preserve">The atlas uses average data</w:t>
      </w:r>
      <w:r>
        <w:t xml:space="preserve"> </w:t>
      </w:r>
      <w:r>
        <w:t xml:space="preserve">from 1 675 adult mouse brains registered into a common coordinate</w:t>
      </w:r>
      <w:r>
        <w:t xml:space="preserve"> </w:t>
      </w:r>
      <w:r>
        <w:t xml:space="preserve">framework and provides 132 coronal Nissl sections at 100 µm</w:t>
      </w:r>
      <w:r>
        <w:t xml:space="preserve"> </w:t>
      </w:r>
      <w:r>
        <w:t xml:space="preserve">intervals【729289557348645†L38-L68】. Each section is annotated with brain</w:t>
      </w:r>
      <w:r>
        <w:t xml:space="preserve"> </w:t>
      </w:r>
      <w:r>
        <w:t xml:space="preserve">region boundaries and used to map gene expression and connectivity.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OASIS‑3 longitudinal MRI cohort.</w:t>
      </w:r>
      <w:r>
        <w:t xml:space="preserve"> </w:t>
      </w:r>
      <w:r>
        <w:t xml:space="preserve">OASIS‑3 compiles 2 842 MR</w:t>
      </w:r>
      <w:r>
        <w:t xml:space="preserve"> </w:t>
      </w:r>
      <w:r>
        <w:t xml:space="preserve">sessions across multiple modalities (T1w, T2w, FLAIR, ASL, SWI,</w:t>
      </w:r>
      <w:r>
        <w:t xml:space="preserve"> </w:t>
      </w:r>
      <w:r>
        <w:t xml:space="preserve">time‑of‑flight, resting BOLD fMRI and diffusion imaging) for 1 378</w:t>
      </w:r>
      <w:r>
        <w:t xml:space="preserve"> </w:t>
      </w:r>
      <w:r>
        <w:t xml:space="preserve">participants collected across several projects【150629382609079†L3474-L3485】. It</w:t>
      </w:r>
      <w:r>
        <w:t xml:space="preserve"> </w:t>
      </w:r>
      <w:r>
        <w:t xml:space="preserve">includes cognitively normal adults and individuals at various stages</w:t>
      </w:r>
      <w:r>
        <w:t xml:space="preserve"> </w:t>
      </w:r>
      <w:r>
        <w:t xml:space="preserve">of cognitive decline, providing rich data for aging research.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SNEMI3D connectomics challenge.</w:t>
      </w:r>
      <w:r>
        <w:t xml:space="preserve"> </w:t>
      </w:r>
      <w:r>
        <w:t xml:space="preserve">The SNEMI3D dataset offers</w:t>
      </w:r>
      <w:r>
        <w:t xml:space="preserve"> </w:t>
      </w:r>
      <w:r>
        <w:t xml:space="preserve">stacks of electron microscopy images of mouse cortex with manual</w:t>
      </w:r>
      <w:r>
        <w:t xml:space="preserve"> </w:t>
      </w:r>
      <w:r>
        <w:t xml:space="preserve">neurite segmentation. The challenge uses an anisotropic resolution</w:t>
      </w:r>
      <w:r>
        <w:t xml:space="preserve"> </w:t>
      </w:r>
      <w:r>
        <w:t xml:space="preserve">and withholds labels for a test set【121880545815582†L55-L73】. It serves as a</w:t>
      </w:r>
      <w:r>
        <w:t xml:space="preserve"> </w:t>
      </w:r>
      <w:r>
        <w:t xml:space="preserve">benchmark for automatic 3D reconstruction algorithms.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Neurofinder calcium imaging benchmark.</w:t>
      </w:r>
      <w:r>
        <w:t xml:space="preserve"> </w:t>
      </w:r>
      <w:r>
        <w:t xml:space="preserve">The Neurofinder dataset</w:t>
      </w:r>
      <w:r>
        <w:t xml:space="preserve"> </w:t>
      </w:r>
      <w:r>
        <w:t xml:space="preserve">comprises two‑photon imaging across different brain regions. It was</w:t>
      </w:r>
      <w:r>
        <w:t xml:space="preserve"> </w:t>
      </w:r>
      <w:r>
        <w:t xml:space="preserve">annotated independently in three laboratories and includes videos</w:t>
      </w:r>
      <w:r>
        <w:t xml:space="preserve"> </w:t>
      </w:r>
      <w:r>
        <w:t xml:space="preserve">where each group contains one training sample and one testing</w:t>
      </w:r>
      <w:r>
        <w:t xml:space="preserve"> </w:t>
      </w:r>
      <w:r>
        <w:t xml:space="preserve">sample【627581280724952†L427-L435】. Preprocessing converts videos into a set of</w:t>
      </w:r>
      <w:r>
        <w:t xml:space="preserve"> </w:t>
      </w:r>
      <w:r>
        <w:t xml:space="preserve">images via average projection and correlation maps.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Other datasets.</w:t>
      </w:r>
      <w:r>
        <w:t xml:space="preserve"> </w:t>
      </w:r>
      <w:r>
        <w:t xml:space="preserve">Additional resources such as the Cancer Genome</w:t>
      </w:r>
      <w:r>
        <w:t xml:space="preserve"> </w:t>
      </w:r>
      <w:r>
        <w:t xml:space="preserve">Atlas (TCGA) for histology, the Allen Brain Observatory for</w:t>
      </w:r>
      <w:r>
        <w:t xml:space="preserve"> </w:t>
      </w:r>
      <w:r>
        <w:t xml:space="preserve">mesoscopic imaging and the Cell Tracking Challenge provide further</w:t>
      </w:r>
      <w:r>
        <w:t xml:space="preserve"> </w:t>
      </w:r>
      <w:r>
        <w:t xml:space="preserve">opportunities for evaluating DINOv3. Although not directly used</w:t>
      </w:r>
      <w:r>
        <w:t xml:space="preserve"> </w:t>
      </w:r>
      <w:r>
        <w:t xml:space="preserve">here, these datasets motivate the modality designs.</w:t>
      </w:r>
    </w:p>
    <w:bookmarkEnd w:id="27"/>
    <w:bookmarkEnd w:id="28"/>
    <w:bookmarkStart w:id="40" w:name="methods"/>
    <w:p>
      <w:pPr>
        <w:pStyle w:val="Heading2"/>
      </w:pPr>
      <w:r>
        <w:t xml:space="preserve">3. Methods</w:t>
      </w:r>
    </w:p>
    <w:bookmarkStart w:id="29" w:name="neuros-integration-of-dinov3"/>
    <w:p>
      <w:pPr>
        <w:pStyle w:val="Heading3"/>
      </w:pPr>
      <w:r>
        <w:t xml:space="preserve">3.1. neurOS integration of DINOv3</w:t>
      </w:r>
    </w:p>
    <w:p>
      <w:pPr>
        <w:pStyle w:val="FirstParagraph"/>
      </w:pPr>
      <w:r>
        <w:t xml:space="preserve">To allow neurOS users to experiment with DINOv3 representations, we</w:t>
      </w:r>
      <w:r>
        <w:t xml:space="preserve"> </w:t>
      </w:r>
      <w:r>
        <w:t xml:space="preserve">implemented a minimal placeholder backend within</w:t>
      </w:r>
      <w:r>
        <w:t xml:space="preserve"> </w:t>
      </w:r>
      <w:r>
        <w:rPr>
          <w:rStyle w:val="VerbatimChar"/>
        </w:rPr>
        <w:t xml:space="preserve">neuros.plugins.cv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DINOv3Backbone</w:t>
      </w:r>
      <w:r>
        <w:t xml:space="preserve"> </w:t>
      </w:r>
      <w:r>
        <w:t xml:space="preserve">class exposes an</w:t>
      </w:r>
      <w:r>
        <w:t xml:space="preserve"> </w:t>
      </w:r>
      <w:r>
        <w:rPr>
          <w:rStyle w:val="VerbatimChar"/>
        </w:rPr>
        <w:t xml:space="preserve">embed</w:t>
      </w:r>
      <w:r>
        <w:t xml:space="preserve"> </w:t>
      </w:r>
      <w:r>
        <w:t xml:space="preserve">method that splits an</w:t>
      </w:r>
      <w:r>
        <w:t xml:space="preserve"> </w:t>
      </w:r>
      <w:r>
        <w:t xml:space="preserve">input image into a grid of 16×16 pixel patches, flattens each patch</w:t>
      </w:r>
      <w:r>
        <w:t xml:space="preserve"> </w:t>
      </w:r>
      <w:r>
        <w:t xml:space="preserve">and feeds it through a pseudo‑random linear projection. The output</w:t>
      </w:r>
      <w:r>
        <w:t xml:space="preserve"> </w:t>
      </w:r>
      <w:r>
        <w:t xml:space="preserve">dimension is 384 for CNX‑T and 1 024 for ViT‑L, matching the real</w:t>
      </w:r>
      <w:r>
        <w:t xml:space="preserve"> </w:t>
      </w:r>
      <w:r>
        <w:t xml:space="preserve">DINOv3 models. All computations are deterministic and require no</w:t>
      </w:r>
      <w:r>
        <w:t xml:space="preserve"> </w:t>
      </w:r>
      <w:r>
        <w:t xml:space="preserve">external dependencies. This placeholder does not reflect the actual</w:t>
      </w:r>
      <w:r>
        <w:t xml:space="preserve"> </w:t>
      </w:r>
      <w:r>
        <w:t xml:space="preserve">DINOv3 weights but provides a stable interface for building and</w:t>
      </w:r>
      <w:r>
        <w:t xml:space="preserve"> </w:t>
      </w:r>
      <w:r>
        <w:t xml:space="preserve">debugging downstream tasks.</w:t>
      </w:r>
    </w:p>
    <w:p>
      <w:pPr>
        <w:pStyle w:val="BodyText"/>
      </w:pPr>
      <w:r>
        <w:t xml:space="preserve">Complementary to the backbone, the</w:t>
      </w:r>
      <w:r>
        <w:t xml:space="preserve"> </w:t>
      </w:r>
      <w:r>
        <w:rPr>
          <w:rStyle w:val="VerbatimChar"/>
        </w:rPr>
        <w:t xml:space="preserve">LinearSegHead</w:t>
      </w:r>
      <w:r>
        <w:t xml:space="preserve"> </w:t>
      </w:r>
      <w:r>
        <w:t xml:space="preserve">module implements a</w:t>
      </w:r>
      <w:r>
        <w:t xml:space="preserve"> </w:t>
      </w:r>
      <w:r>
        <w:t xml:space="preserve">1×1 convolution (i.e., a linear layer) followed by bilinear</w:t>
      </w:r>
      <w:r>
        <w:t xml:space="preserve"> </w:t>
      </w:r>
      <w:r>
        <w:t xml:space="preserve">interpolation to map patch embeddings to pixel‑wise class logits. For</w:t>
      </w:r>
      <w:r>
        <w:t xml:space="preserve"> </w:t>
      </w:r>
      <w:r>
        <w:t xml:space="preserve">registration tasks we added a</w:t>
      </w:r>
      <w:r>
        <w:t xml:space="preserve"> </w:t>
      </w:r>
      <w:r>
        <w:rPr>
          <w:rStyle w:val="VerbatimChar"/>
        </w:rPr>
        <w:t xml:space="preserve">feature_matching.py</w:t>
      </w:r>
      <w:r>
        <w:t xml:space="preserve"> </w:t>
      </w:r>
      <w:r>
        <w:t xml:space="preserve">module containing</w:t>
      </w:r>
      <w:r>
        <w:t xml:space="preserve"> </w:t>
      </w:r>
      <w:r>
        <w:rPr>
          <w:rStyle w:val="VerbatimChar"/>
        </w:rPr>
        <w:t xml:space="preserve">patch_correlation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estimate_translation</w:t>
      </w:r>
      <w:r>
        <w:t xml:space="preserve">. The former computes a</w:t>
      </w:r>
      <w:r>
        <w:t xml:space="preserve"> </w:t>
      </w:r>
      <w:r>
        <w:t xml:space="preserve">cosine similarity matrix between patch features of two images; the</w:t>
      </w:r>
      <w:r>
        <w:t xml:space="preserve"> </w:t>
      </w:r>
      <w:r>
        <w:t xml:space="preserve">latter identifies the best match for each patch, converts indices</w:t>
      </w:r>
      <w:r>
        <w:t xml:space="preserve"> </w:t>
      </w:r>
      <w:r>
        <w:t xml:space="preserve">into two‑dimensional coordinates and returns the median offset as the</w:t>
      </w:r>
      <w:r>
        <w:t xml:space="preserve"> </w:t>
      </w:r>
      <w:r>
        <w:t xml:space="preserve">estimated translation. These modules integrate seamlessly with the</w:t>
      </w:r>
      <w:r>
        <w:t xml:space="preserve"> </w:t>
      </w:r>
      <w:r>
        <w:t xml:space="preserve">neurOS plugin system and can be extended to support real DINOv3</w:t>
      </w:r>
      <w:r>
        <w:t xml:space="preserve"> </w:t>
      </w:r>
      <w:r>
        <w:t xml:space="preserve">backbones downloaded via</w:t>
      </w:r>
      <w:r>
        <w:t xml:space="preserve"> </w:t>
      </w:r>
      <w:r>
        <w:rPr>
          <w:rStyle w:val="VerbatimChar"/>
        </w:rPr>
        <w:t xml:space="preserve">transformers</w:t>
      </w:r>
      <w:r>
        <w:t xml:space="preserve">.</w:t>
      </w:r>
    </w:p>
    <w:bookmarkEnd w:id="29"/>
    <w:bookmarkStart w:id="36" w:name="synthetic-dataset-generation"/>
    <w:p>
      <w:pPr>
        <w:pStyle w:val="Heading3"/>
      </w:pPr>
      <w:r>
        <w:t xml:space="preserve">3.2. Synthetic dataset generation</w:t>
      </w:r>
    </w:p>
    <w:p>
      <w:pPr>
        <w:pStyle w:val="FirstParagraph"/>
      </w:pPr>
      <w:r>
        <w:t xml:space="preserve">To systematically evaluate DINOv3 across modalities without relying on</w:t>
      </w:r>
      <w:r>
        <w:t xml:space="preserve"> </w:t>
      </w:r>
      <w:r>
        <w:t xml:space="preserve">large datasets, we generate synthetic images and masks. Each</w:t>
      </w:r>
      <w:r>
        <w:t xml:space="preserve"> </w:t>
      </w:r>
      <w:r>
        <w:t xml:space="preserve">modality has a dedicated generator function (see</w:t>
      </w:r>
      <w:r>
        <w:t xml:space="preserve"> </w:t>
      </w:r>
      <w:r>
        <w:rPr>
          <w:rStyle w:val="VerbatimChar"/>
        </w:rPr>
        <w:t xml:space="preserve">create_extended_\ notebook.py</w:t>
      </w:r>
      <w:r>
        <w:t xml:space="preserve">). Images have resolution 128×128 pixels and the masks</w:t>
      </w:r>
      <w:r>
        <w:t xml:space="preserve"> </w:t>
      </w:r>
      <w:r>
        <w:t xml:space="preserve">label a subset of pixels as foreground. We describe each modality’s</w:t>
      </w:r>
      <w:r>
        <w:t xml:space="preserve"> </w:t>
      </w:r>
      <w:r>
        <w:t xml:space="preserve">design below.</w:t>
      </w:r>
    </w:p>
    <w:bookmarkStart w:id="30" w:name="electron-microscopy-em"/>
    <w:p>
      <w:pPr>
        <w:pStyle w:val="Heading4"/>
      </w:pPr>
      <w:r>
        <w:t xml:space="preserve">3.2.1. Electron microscopy (EM)</w:t>
      </w:r>
    </w:p>
    <w:p>
      <w:pPr>
        <w:pStyle w:val="FirstParagraph"/>
      </w:pPr>
      <w:r>
        <w:t xml:space="preserve">EM images are characterised by dark membranes and bright synaptic</w:t>
      </w:r>
      <w:r>
        <w:t xml:space="preserve"> </w:t>
      </w:r>
      <w:r>
        <w:t xml:space="preserve">vesicles. We approximate this by drawing several random circles on a</w:t>
      </w:r>
      <w:r>
        <w:t xml:space="preserve"> </w:t>
      </w:r>
      <w:r>
        <w:t xml:space="preserve">noisy background. A Gaussian noise field serves as the base; each</w:t>
      </w:r>
      <w:r>
        <w:t xml:space="preserve"> </w:t>
      </w:r>
      <w:r>
        <w:t xml:space="preserve">circle increases intensity within its radius on all channels. The</w:t>
      </w:r>
      <w:r>
        <w:t xml:space="preserve"> </w:t>
      </w:r>
      <w:r>
        <w:t xml:space="preserve">mask marks circle pixels as foreground. This design encourages</w:t>
      </w:r>
      <w:r>
        <w:t xml:space="preserve"> </w:t>
      </w:r>
      <w:r>
        <w:t xml:space="preserve">models to detect bright objects against noise and replicates the high</w:t>
      </w:r>
      <w:r>
        <w:t xml:space="preserve"> </w:t>
      </w:r>
      <w:r>
        <w:t xml:space="preserve">contrast of EM micrographs.</w:t>
      </w:r>
    </w:p>
    <w:bookmarkEnd w:id="30"/>
    <w:bookmarkStart w:id="31" w:name="structural-mri"/>
    <w:p>
      <w:pPr>
        <w:pStyle w:val="Heading4"/>
      </w:pPr>
      <w:r>
        <w:t xml:space="preserve">3.2.2. Structural MRI</w:t>
      </w:r>
    </w:p>
    <w:p>
      <w:pPr>
        <w:pStyle w:val="FirstParagraph"/>
      </w:pPr>
      <w:r>
        <w:t xml:space="preserve">MRI slices exhibit smooth intensity variations with occasional lesions</w:t>
      </w:r>
      <w:r>
        <w:t xml:space="preserve"> </w:t>
      </w:r>
      <w:r>
        <w:t xml:space="preserve">or anomalies. We create a radial gradient by computing the Euclidean</w:t>
      </w:r>
      <w:r>
        <w:t xml:space="preserve"> </w:t>
      </w:r>
      <w:r>
        <w:t xml:space="preserve">distance from the image centre, normalising it and stacking it across</w:t>
      </w:r>
      <w:r>
        <w:t xml:space="preserve"> </w:t>
      </w:r>
      <w:r>
        <w:t xml:space="preserve">RGB channels. An elliptical lesion is placed near the centre; its</w:t>
      </w:r>
      <w:r>
        <w:t xml:space="preserve"> </w:t>
      </w:r>
      <w:r>
        <w:t xml:space="preserve">amplitude slightly increases the intensity on the red channel. The</w:t>
      </w:r>
      <w:r>
        <w:t xml:space="preserve"> </w:t>
      </w:r>
      <w:r>
        <w:t xml:space="preserve">mask labels the lesion region. This design tests whether patch</w:t>
      </w:r>
      <w:r>
        <w:t xml:space="preserve"> </w:t>
      </w:r>
      <w:r>
        <w:t xml:space="preserve">embeddings can capture subtle intensity differences across a large</w:t>
      </w:r>
      <w:r>
        <w:t xml:space="preserve"> </w:t>
      </w:r>
      <w:r>
        <w:t xml:space="preserve">background.</w:t>
      </w:r>
    </w:p>
    <w:bookmarkEnd w:id="31"/>
    <w:bookmarkStart w:id="32" w:name="histology"/>
    <w:p>
      <w:pPr>
        <w:pStyle w:val="Heading4"/>
      </w:pPr>
      <w:r>
        <w:t xml:space="preserve">3.2.3. Histology</w:t>
      </w:r>
    </w:p>
    <w:p>
      <w:pPr>
        <w:pStyle w:val="FirstParagraph"/>
      </w:pPr>
      <w:r>
        <w:t xml:space="preserve">Histology images show nuclei stained purple (haematoxylin) and</w:t>
      </w:r>
      <w:r>
        <w:t xml:space="preserve"> </w:t>
      </w:r>
      <w:r>
        <w:t xml:space="preserve">cytoplasm stained pink (eosin). We synthesise a pinkish background by</w:t>
      </w:r>
      <w:r>
        <w:t xml:space="preserve"> </w:t>
      </w:r>
      <w:r>
        <w:t xml:space="preserve">sampling from a Gaussian around a base colour and scatter dark</w:t>
      </w:r>
      <w:r>
        <w:t xml:space="preserve"> </w:t>
      </w:r>
      <w:r>
        <w:t xml:space="preserve">circular nuclei across the field. The mask indicates the nuclei.</w:t>
      </w:r>
      <w:r>
        <w:t xml:space="preserve"> </w:t>
      </w:r>
      <w:r>
        <w:t xml:space="preserve">This modality challenges the model to detect many small objects on a</w:t>
      </w:r>
      <w:r>
        <w:t xml:space="preserve"> </w:t>
      </w:r>
      <w:r>
        <w:t xml:space="preserve">mottled backdrop.</w:t>
      </w:r>
    </w:p>
    <w:bookmarkEnd w:id="32"/>
    <w:bookmarkStart w:id="33" w:name="connectomics"/>
    <w:p>
      <w:pPr>
        <w:pStyle w:val="Heading4"/>
      </w:pPr>
      <w:r>
        <w:t xml:space="preserve">3.2.4. Connectomics</w:t>
      </w:r>
    </w:p>
    <w:p>
      <w:pPr>
        <w:pStyle w:val="FirstParagraph"/>
      </w:pPr>
      <w:r>
        <w:t xml:space="preserve">Connectomic tracings visualise long neurites and axons. We generate</w:t>
      </w:r>
      <w:r>
        <w:t xml:space="preserve"> </w:t>
      </w:r>
      <w:r>
        <w:t xml:space="preserve">filamentous structures by starting from random seed points and</w:t>
      </w:r>
      <w:r>
        <w:t xml:space="preserve"> </w:t>
      </w:r>
      <w:r>
        <w:t xml:space="preserve">propagating along straight or curved trajectories with small</w:t>
      </w:r>
      <w:r>
        <w:t xml:space="preserve"> </w:t>
      </w:r>
      <w:r>
        <w:t xml:space="preserve">perturbations. At each step we draw a cross (to impart thickness) and</w:t>
      </w:r>
      <w:r>
        <w:t xml:space="preserve"> </w:t>
      </w:r>
      <w:r>
        <w:t xml:space="preserve">increase the intensity of that region. The mask marks all pixels</w:t>
      </w:r>
      <w:r>
        <w:t xml:space="preserve"> </w:t>
      </w:r>
      <w:r>
        <w:t xml:space="preserve">touched by filaments. This design emphasises elongated shapes that</w:t>
      </w:r>
      <w:r>
        <w:t xml:space="preserve"> </w:t>
      </w:r>
      <w:r>
        <w:t xml:space="preserve">span large distances, requiring the model to integrate information</w:t>
      </w:r>
      <w:r>
        <w:t xml:space="preserve"> </w:t>
      </w:r>
      <w:r>
        <w:t xml:space="preserve">across patches.</w:t>
      </w:r>
    </w:p>
    <w:bookmarkEnd w:id="33"/>
    <w:bookmarkStart w:id="34" w:name="anatomical-atlas"/>
    <w:p>
      <w:pPr>
        <w:pStyle w:val="Heading4"/>
      </w:pPr>
      <w:r>
        <w:t xml:space="preserve">3.2.5. Anatomical atlas</w:t>
      </w:r>
    </w:p>
    <w:p>
      <w:pPr>
        <w:pStyle w:val="FirstParagraph"/>
      </w:pPr>
      <w:r>
        <w:t xml:space="preserve">Atlases present layered laminar organisation and discrete brain</w:t>
      </w:r>
      <w:r>
        <w:t xml:space="preserve"> </w:t>
      </w:r>
      <w:r>
        <w:t xml:space="preserve">regions. We fill the image with horizontal stripes of randomly</w:t>
      </w:r>
      <w:r>
        <w:t xml:space="preserve"> </w:t>
      </w:r>
      <w:r>
        <w:t xml:space="preserve">selected pastel colours. Then we overlay a few elliptical regions at</w:t>
      </w:r>
      <w:r>
        <w:t xml:space="preserve"> </w:t>
      </w:r>
      <w:r>
        <w:t xml:space="preserve">random positions, colouring them greenish and marking them in the</w:t>
      </w:r>
      <w:r>
        <w:t xml:space="preserve"> </w:t>
      </w:r>
      <w:r>
        <w:t xml:space="preserve">mask. The combination of stripes and regions encourages the model to</w:t>
      </w:r>
      <w:r>
        <w:t xml:space="preserve"> </w:t>
      </w:r>
      <w:r>
        <w:t xml:space="preserve">distinguish macrostructures embedded in global context. It also</w:t>
      </w:r>
      <w:r>
        <w:t xml:space="preserve"> </w:t>
      </w:r>
      <w:r>
        <w:t xml:space="preserve">reflects the multi‑region segmentation tasks typical in atlas</w:t>
      </w:r>
      <w:r>
        <w:t xml:space="preserve"> </w:t>
      </w:r>
      <w:r>
        <w:t xml:space="preserve">applications.</w:t>
      </w:r>
    </w:p>
    <w:bookmarkEnd w:id="34"/>
    <w:bookmarkStart w:id="35" w:name="calcium-imaging"/>
    <w:p>
      <w:pPr>
        <w:pStyle w:val="Heading4"/>
      </w:pPr>
      <w:r>
        <w:t xml:space="preserve">3.2.6. Calcium imaging</w:t>
      </w:r>
    </w:p>
    <w:p>
      <w:pPr>
        <w:pStyle w:val="FirstParagraph"/>
      </w:pPr>
      <w:r>
        <w:t xml:space="preserve">Calcium imaging frames show bright neurons on a low baseline. We</w:t>
      </w:r>
      <w:r>
        <w:t xml:space="preserve"> </w:t>
      </w:r>
      <w:r>
        <w:t xml:space="preserve">create a low‑level noise background and randomly place circular blobs</w:t>
      </w:r>
      <w:r>
        <w:t xml:space="preserve"> </w:t>
      </w:r>
      <w:r>
        <w:t xml:space="preserve">with radii between 1 % and 2.5 % of the image size. Each blob</w:t>
      </w:r>
      <w:r>
        <w:t xml:space="preserve"> </w:t>
      </w:r>
      <w:r>
        <w:t xml:space="preserve">increases intensities uniformly across channels. The mask labels the</w:t>
      </w:r>
      <w:r>
        <w:t xml:space="preserve"> </w:t>
      </w:r>
      <w:r>
        <w:t xml:space="preserve">blobs. Although our synthetic images do not reflect temporal</w:t>
      </w:r>
      <w:r>
        <w:t xml:space="preserve"> </w:t>
      </w:r>
      <w:r>
        <w:t xml:space="preserve">dynamics, they approximate the spatial pattern of active neurons</w:t>
      </w:r>
      <w:r>
        <w:t xml:space="preserve"> </w:t>
      </w:r>
      <w:r>
        <w:t xml:space="preserve">captured in two‑photon imaging【627581280724952†L427-L435】.</w:t>
      </w:r>
    </w:p>
    <w:p>
      <w:pPr>
        <w:pStyle w:val="BodyText"/>
      </w:pPr>
      <w:r>
        <w:t xml:space="preserve">Across modalities we generate 10 training and 5 testing images. To</w:t>
      </w:r>
      <w:r>
        <w:t xml:space="preserve"> </w:t>
      </w:r>
      <w:r>
        <w:t xml:space="preserve">assign a label to each 16×16 patch we compute the maximum of the</w:t>
      </w:r>
      <w:r>
        <w:t xml:space="preserve"> </w:t>
      </w:r>
      <w:r>
        <w:t xml:space="preserve">corresponding mask region—if any pixel is foreground the patch is</w:t>
      </w:r>
      <w:r>
        <w:t xml:space="preserve"> </w:t>
      </w:r>
      <w:r>
        <w:t xml:space="preserve">labelled 1; otherwise it is 0. This pooling results in balanced</w:t>
      </w:r>
      <w:r>
        <w:t xml:space="preserve"> </w:t>
      </w:r>
      <w:r>
        <w:t xml:space="preserve">foreground and background counts for most modalities and ensures that</w:t>
      </w:r>
      <w:r>
        <w:t xml:space="preserve"> </w:t>
      </w:r>
      <w:r>
        <w:t xml:space="preserve">logistic regression has positive examples to learn from.</w:t>
      </w:r>
    </w:p>
    <w:bookmarkEnd w:id="35"/>
    <w:bookmarkEnd w:id="36"/>
    <w:bookmarkStart w:id="37" w:name="segmentation-experiments"/>
    <w:p>
      <w:pPr>
        <w:pStyle w:val="Heading3"/>
      </w:pPr>
      <w:r>
        <w:t xml:space="preserve">3.3. Segmentation experiments</w:t>
      </w:r>
    </w:p>
    <w:p>
      <w:pPr>
        <w:pStyle w:val="FirstParagraph"/>
      </w:pPr>
      <w:r>
        <w:t xml:space="preserve">For each modality and backbone we extract patch embeddings from the</w:t>
      </w:r>
      <w:r>
        <w:t xml:space="preserve"> </w:t>
      </w:r>
      <w:r>
        <w:t xml:space="preserve">training images, flatten them into a design matrix and train a binary</w:t>
      </w:r>
      <w:r>
        <w:t xml:space="preserve"> </w:t>
      </w:r>
      <w:r>
        <w:t xml:space="preserve">logistic regression to predict foreground versus background patches.</w:t>
      </w:r>
      <w:r>
        <w:t xml:space="preserve"> </w:t>
      </w:r>
      <w:r>
        <w:t xml:space="preserve">We evaluate accuracy and F1 score on the test set. Because our</w:t>
      </w:r>
      <w:r>
        <w:t xml:space="preserve"> </w:t>
      </w:r>
      <w:r>
        <w:t xml:space="preserve">placeholder backbone is random, the absolute numbers do not reflect</w:t>
      </w:r>
      <w:r>
        <w:t xml:space="preserve"> </w:t>
      </w:r>
      <w:r>
        <w:t xml:space="preserve">real DINOv3 performance but serve to compare relative difficulty</w:t>
      </w:r>
      <w:r>
        <w:t xml:space="preserve"> </w:t>
      </w:r>
      <w:r>
        <w:t xml:space="preserve">across modalities and architectures. To test cross‑modality transfer</w:t>
      </w:r>
      <w:r>
        <w:t xml:space="preserve"> </w:t>
      </w:r>
      <w:r>
        <w:t xml:space="preserve">we train the model on one modality and evaluate on another, producing</w:t>
      </w:r>
      <w:r>
        <w:t xml:space="preserve"> </w:t>
      </w:r>
      <w:r>
        <w:t xml:space="preserve">a 6×6 accuracy/F1 matrix for each backbone.</w:t>
      </w:r>
    </w:p>
    <w:bookmarkEnd w:id="37"/>
    <w:bookmarkStart w:id="38" w:name="registration-experiments"/>
    <w:p>
      <w:pPr>
        <w:pStyle w:val="Heading3"/>
      </w:pPr>
      <w:r>
        <w:t xml:space="preserve">3.4. Registration experiments</w:t>
      </w:r>
    </w:p>
    <w:p>
      <w:pPr>
        <w:pStyle w:val="FirstParagraph"/>
      </w:pPr>
      <w:r>
        <w:t xml:space="preserve">To approximate slice‑to‑slice alignment, we shift a single image by</w:t>
      </w:r>
      <w:r>
        <w:t xml:space="preserve"> </w:t>
      </w:r>
      <w:r>
        <w:t xml:space="preserve">multiples of the 16×16 patch size and attempt to recover the</w:t>
      </w:r>
      <w:r>
        <w:t xml:space="preserve"> </w:t>
      </w:r>
      <w:r>
        <w:t xml:space="preserve">translation using the</w:t>
      </w:r>
      <w:r>
        <w:t xml:space="preserve"> </w:t>
      </w:r>
      <w:r>
        <w:rPr>
          <w:rStyle w:val="VerbatimChar"/>
        </w:rPr>
        <w:t xml:space="preserve">patch_correlation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estimate_translation</w:t>
      </w:r>
      <w:r>
        <w:t xml:space="preserve"> </w:t>
      </w:r>
      <w:r>
        <w:t xml:space="preserve">functions. For each modality and backbone we shift by (1,1), (0,2)</w:t>
      </w:r>
      <w:r>
        <w:t xml:space="preserve"> </w:t>
      </w:r>
      <w:r>
        <w:t xml:space="preserve">and (−2,−1) patches, zero out the wrapped region and compute the</w:t>
      </w:r>
      <w:r>
        <w:t xml:space="preserve"> </w:t>
      </w:r>
      <w:r>
        <w:t xml:space="preserve">cosine similarity matrix between the original and shifted patch</w:t>
      </w:r>
      <w:r>
        <w:t xml:space="preserve"> </w:t>
      </w:r>
      <w:r>
        <w:t xml:space="preserve">embeddings. We then compute the median offset between best‑matching</w:t>
      </w:r>
      <w:r>
        <w:t xml:space="preserve"> </w:t>
      </w:r>
      <w:r>
        <w:t xml:space="preserve">patch pairs to estimate the translation. The mean absolute error</w:t>
      </w:r>
      <w:r>
        <w:t xml:space="preserve"> </w:t>
      </w:r>
      <w:r>
        <w:t xml:space="preserve">across shifts (in patch units) is reported.</w:t>
      </w:r>
    </w:p>
    <w:bookmarkEnd w:id="38"/>
    <w:bookmarkStart w:id="39" w:name="implementation-details"/>
    <w:p>
      <w:pPr>
        <w:pStyle w:val="Heading3"/>
      </w:pPr>
      <w:r>
        <w:t xml:space="preserve">3.5. Implementation details</w:t>
      </w:r>
    </w:p>
    <w:p>
      <w:pPr>
        <w:pStyle w:val="FirstParagraph"/>
      </w:pPr>
      <w:r>
        <w:t xml:space="preserve">Experiments were implemented in Python 3.11 using NumPy, scikit‑learn</w:t>
      </w:r>
      <w:r>
        <w:t xml:space="preserve"> </w:t>
      </w:r>
      <w:r>
        <w:t xml:space="preserve">and Matplotlib. Our placeholder DINOv3 modules require no GPU. All</w:t>
      </w:r>
      <w:r>
        <w:t xml:space="preserve"> </w:t>
      </w:r>
      <w:r>
        <w:t xml:space="preserve">random processes are seeded for reproducibility. The Jupyter notebook</w:t>
      </w:r>
      <w:r>
        <w:t xml:space="preserve"> </w:t>
      </w:r>
      <w:r>
        <w:rPr>
          <w:rStyle w:val="VerbatimChar"/>
        </w:rPr>
        <w:t xml:space="preserve">dino_extended_experiments.ipynb</w:t>
      </w:r>
      <w:r>
        <w:t xml:space="preserve"> </w:t>
      </w:r>
      <w:r>
        <w:t xml:space="preserve">automatically generates the</w:t>
      </w:r>
      <w:r>
        <w:t xml:space="preserve"> </w:t>
      </w:r>
      <w:r>
        <w:t xml:space="preserve">datasets, trains models, computes metrics and visualises results. The</w:t>
      </w:r>
      <w:r>
        <w:t xml:space="preserve"> </w:t>
      </w:r>
      <w:r>
        <w:t xml:space="preserve">notebook uses the</w:t>
      </w:r>
      <w:r>
        <w:t xml:space="preserve"> </w:t>
      </w:r>
      <w:r>
        <w:rPr>
          <w:rStyle w:val="VerbatimChar"/>
        </w:rPr>
        <w:t xml:space="preserve">caas_jupyter_tools.display_dataframe_to_user</w:t>
      </w:r>
      <w:r>
        <w:t xml:space="preserve"> </w:t>
      </w:r>
      <w:r>
        <w:t xml:space="preserve">function to show results tables interactively. The analysis in this</w:t>
      </w:r>
      <w:r>
        <w:t xml:space="preserve"> </w:t>
      </w:r>
      <w:r>
        <w:t xml:space="preserve">paper is based on a single run; repeated trials may vary slightly due</w:t>
      </w:r>
      <w:r>
        <w:t xml:space="preserve"> </w:t>
      </w:r>
      <w:r>
        <w:t xml:space="preserve">to randomness.</w:t>
      </w:r>
    </w:p>
    <w:bookmarkEnd w:id="39"/>
    <w:bookmarkEnd w:id="40"/>
    <w:bookmarkStart w:id="45" w:name="results"/>
    <w:p>
      <w:pPr>
        <w:pStyle w:val="Heading2"/>
      </w:pPr>
      <w:r>
        <w:t xml:space="preserve">4. Results</w:t>
      </w:r>
    </w:p>
    <w:bookmarkStart w:id="41" w:name="singlemodality-segmentation"/>
    <w:p>
      <w:pPr>
        <w:pStyle w:val="Heading3"/>
      </w:pPr>
      <w:r>
        <w:t xml:space="preserve">4.1. Single‑modality segmentation</w:t>
      </w:r>
    </w:p>
    <w:p>
      <w:pPr>
        <w:pStyle w:val="FirstParagraph"/>
      </w:pPr>
      <w:r>
        <w:t xml:space="preserve">Table 1 reports accuracy and F1 scores when training and testing on</w:t>
      </w:r>
      <w:r>
        <w:t xml:space="preserve"> </w:t>
      </w:r>
      <w:r>
        <w:t xml:space="preserve">the same modality. Both CNX‑T and ViT‑L achieve high performance on</w:t>
      </w:r>
      <w:r>
        <w:t xml:space="preserve"> </w:t>
      </w:r>
      <w:r>
        <w:t xml:space="preserve">EM, histology, connectomics and calcium imaging (accuracy ≥0.94 and</w:t>
      </w:r>
      <w:r>
        <w:t xml:space="preserve"> </w:t>
      </w:r>
      <w:r>
        <w:t xml:space="preserve">F1 ≥0.91). MRI and atlas tasks are harder: the smooth gradient in</w:t>
      </w:r>
      <w:r>
        <w:t xml:space="preserve"> </w:t>
      </w:r>
      <w:r>
        <w:t xml:space="preserve">MRI leads to ambiguous patch boundaries and a lower F1 (0.60 for</w:t>
      </w:r>
      <w:r>
        <w:t xml:space="preserve"> </w:t>
      </w:r>
      <w:r>
        <w:t xml:space="preserve">CNX‑T, 0.65 for ViT‑L), while the layered stripes and coarse regions</w:t>
      </w:r>
      <w:r>
        <w:t xml:space="preserve"> </w:t>
      </w:r>
      <w:r>
        <w:t xml:space="preserve">in the atlas yield F1 ≈0.77–0.81. ViT‑L consistently outperforms</w:t>
      </w:r>
      <w:r>
        <w:t xml:space="preserve"> </w:t>
      </w:r>
      <w:r>
        <w:t xml:space="preserve">CNX‑T by a small margin.</w:t>
      </w:r>
    </w:p>
    <w:p>
      <w:pPr>
        <w:pStyle w:val="BodyText"/>
      </w:pPr>
      <w:r>
        <w:rPr>
          <w:bCs/>
          <w:b/>
        </w:rPr>
        <w:t xml:space="preserve">Table 1:</w:t>
      </w:r>
      <w:r>
        <w:t xml:space="preserve"> </w:t>
      </w:r>
      <w:r>
        <w:t xml:space="preserve">Segmentation performance per modality. Values are</w:t>
      </w:r>
      <w:r>
        <w:t xml:space="preserve"> </w:t>
      </w:r>
      <w:r>
        <w:t xml:space="preserve">accuracy/F1.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Modality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CNX‑Tiny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ViT‑Large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0.981/0.951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0.984/0.959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MRI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0.875/0.600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0.894/0.653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Histology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0.938/0.941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0.947/0.950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Connectomics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0.956/0.936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0.975/0.965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Atlas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0.888/0.769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0.900/0.810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Calcium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0.941/0.913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0.959/0.942</w:t>
            </w:r>
          </w:p>
        </w:tc>
      </w:tr>
    </w:tbl>
    <w:bookmarkEnd w:id="41"/>
    <w:bookmarkStart w:id="42" w:name="crossmodality-generalisation"/>
    <w:p>
      <w:pPr>
        <w:pStyle w:val="Heading3"/>
      </w:pPr>
      <w:r>
        <w:t xml:space="preserve">4.2. Cross‑modality generalisation</w:t>
      </w:r>
    </w:p>
    <w:p>
      <w:pPr>
        <w:pStyle w:val="FirstParagraph"/>
      </w:pPr>
      <w:r>
        <w:t xml:space="preserve">We train on one modality and evaluate on all others, producing a</w:t>
      </w:r>
      <w:r>
        <w:t xml:space="preserve"> </w:t>
      </w:r>
      <w:r>
        <w:t xml:space="preserve">6×6 matrix per backbone. Fig. 1 visualises the F1 scores for</w:t>
      </w:r>
      <w:r>
        <w:t xml:space="preserve"> </w:t>
      </w:r>
      <w:r>
        <w:t xml:space="preserve">CNX‑T and ViT‑L as heatmaps. Several patterns emerge: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Within‑modality dominance.</w:t>
      </w:r>
      <w:r>
        <w:t xml:space="preserve"> </w:t>
      </w:r>
      <w:r>
        <w:t xml:space="preserve">Highest F1 scores occur on the</w:t>
      </w:r>
      <w:r>
        <w:t xml:space="preserve"> </w:t>
      </w:r>
      <w:r>
        <w:t xml:space="preserve">diagonal, indicating that features learned on a modality capture</w:t>
      </w:r>
      <w:r>
        <w:t xml:space="preserve"> </w:t>
      </w:r>
      <w:r>
        <w:t xml:space="preserve">modality‑specific cues.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Transfer from EM and connectomics.</w:t>
      </w:r>
      <w:r>
        <w:t xml:space="preserve"> </w:t>
      </w:r>
      <w:r>
        <w:t xml:space="preserve">Training on EM or</w:t>
      </w:r>
      <w:r>
        <w:t xml:space="preserve"> </w:t>
      </w:r>
      <w:r>
        <w:t xml:space="preserve">connectomics yields moderate F1 on histology and calcium imaging</w:t>
      </w:r>
      <w:r>
        <w:t xml:space="preserve"> </w:t>
      </w:r>
      <w:r>
        <w:t xml:space="preserve">(~0.54–0.72). This suggests that detecting discrete objects (circles</w:t>
      </w:r>
      <w:r>
        <w:t xml:space="preserve"> </w:t>
      </w:r>
      <w:r>
        <w:t xml:space="preserve">or filaments) fosters transferable features for other object-centric</w:t>
      </w:r>
      <w:r>
        <w:t xml:space="preserve"> </w:t>
      </w:r>
      <w:r>
        <w:t xml:space="preserve">tasks. Conversely, training on histology or calcium rarely</w:t>
      </w:r>
      <w:r>
        <w:t xml:space="preserve"> </w:t>
      </w:r>
      <w:r>
        <w:t xml:space="preserve">generalises back to EM because these modalities lack the sharp</w:t>
      </w:r>
      <w:r>
        <w:t xml:space="preserve"> </w:t>
      </w:r>
      <w:r>
        <w:t xml:space="preserve">high‑contrast cues of EM.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Atlas to connectomics.</w:t>
      </w:r>
      <w:r>
        <w:t xml:space="preserve"> </w:t>
      </w:r>
      <w:r>
        <w:t xml:space="preserve">Training on atlas images results in F1</w:t>
      </w:r>
      <w:r>
        <w:t xml:space="preserve"> </w:t>
      </w:r>
      <w:r>
        <w:t xml:space="preserve">≈0.49 on connectomics for CNX‑T and 0.49 for ViT‑L. The stripes and</w:t>
      </w:r>
      <w:r>
        <w:t xml:space="preserve"> </w:t>
      </w:r>
      <w:r>
        <w:t xml:space="preserve">regions may encourage detection of long structures that loosely</w:t>
      </w:r>
      <w:r>
        <w:t xml:space="preserve"> </w:t>
      </w:r>
      <w:r>
        <w:t xml:space="preserve">resemble neurites.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Poor transfer to MRI.</w:t>
      </w:r>
      <w:r>
        <w:t xml:space="preserve"> </w:t>
      </w:r>
      <w:r>
        <w:t xml:space="preserve">No training modality except MRI itself</w:t>
      </w:r>
      <w:r>
        <w:t xml:space="preserve"> </w:t>
      </w:r>
      <w:r>
        <w:t xml:space="preserve">achieves F1 above 0.32 on MRI. The subtle intensity variations and</w:t>
      </w:r>
      <w:r>
        <w:t xml:space="preserve"> </w:t>
      </w:r>
      <w:r>
        <w:t xml:space="preserve">global structure are not captured by features learned from other</w:t>
      </w:r>
      <w:r>
        <w:t xml:space="preserve"> </w:t>
      </w:r>
      <w:r>
        <w:t xml:space="preserve">modalities.</w:t>
      </w:r>
    </w:p>
    <w:p>
      <w:pPr>
        <w:pStyle w:val="FirstParagraph"/>
      </w:pPr>
      <w:r>
        <w:t xml:space="preserve">Overall, cross‑modality generalisation is limited but not entirely</w:t>
      </w:r>
      <w:r>
        <w:t xml:space="preserve"> </w:t>
      </w:r>
      <w:r>
        <w:t xml:space="preserve">absent. The synthetic experiments highlight which modality pairs</w:t>
      </w:r>
      <w:r>
        <w:t xml:space="preserve"> </w:t>
      </w:r>
      <w:r>
        <w:t xml:space="preserve">share similar patterns and which require domain‑specific adaptation.</w:t>
      </w:r>
    </w:p>
    <w:p>
      <w:pPr>
        <w:pStyle w:val="BodyText"/>
      </w:pPr>
      <w:r>
        <w:rPr>
          <w:bCs/>
          <w:b/>
        </w:rPr>
        <w:t xml:space="preserve">Figure 1:</w:t>
      </w:r>
      <w:r>
        <w:t xml:space="preserve"> </w:t>
      </w:r>
      <w:r>
        <w:t xml:space="preserve">Cross‑modality F1 heatmaps for CNX‑Tiny and ViT‑Large.</w:t>
      </w:r>
      <w:r>
        <w:t xml:space="preserve"> </w:t>
      </w:r>
      <w:r>
        <w:t xml:space="preserve">(To reproduce this figure see the notebook.)</w:t>
      </w:r>
    </w:p>
    <w:bookmarkEnd w:id="42"/>
    <w:bookmarkStart w:id="43" w:name="registration-accuracy"/>
    <w:p>
      <w:pPr>
        <w:pStyle w:val="Heading3"/>
      </w:pPr>
      <w:r>
        <w:t xml:space="preserve">4.3. Registration accuracy</w:t>
      </w:r>
    </w:p>
    <w:p>
      <w:pPr>
        <w:pStyle w:val="FirstParagraph"/>
      </w:pPr>
      <w:r>
        <w:t xml:space="preserve">The translation experiment results are summarised in Table 2. For</w:t>
      </w:r>
      <w:r>
        <w:t xml:space="preserve"> </w:t>
      </w:r>
      <w:r>
        <w:t xml:space="preserve">every modality and backbone the mean absolute error in estimated</w:t>
      </w:r>
      <w:r>
        <w:t xml:space="preserve"> </w:t>
      </w:r>
      <w:r>
        <w:t xml:space="preserve">translation is 2.33 patches (≈37 pixels), indicating that the</w:t>
      </w:r>
      <w:r>
        <w:t xml:space="preserve"> </w:t>
      </w:r>
      <w:r>
        <w:t xml:space="preserve">placeholder features are insufficient for precise alignment. The</w:t>
      </w:r>
      <w:r>
        <w:t xml:space="preserve"> </w:t>
      </w:r>
      <w:r>
        <w:t xml:space="preserve">constant error arises because the random projections provide no</w:t>
      </w:r>
      <w:r>
        <w:t xml:space="preserve"> </w:t>
      </w:r>
      <w:r>
        <w:t xml:space="preserve">geometry; similarity matrices are noisy and the median of best-match</w:t>
      </w:r>
      <w:r>
        <w:t xml:space="preserve"> </w:t>
      </w:r>
      <w:r>
        <w:t xml:space="preserve">offsets approaches the centre of the search range. In future work</w:t>
      </w:r>
      <w:r>
        <w:t xml:space="preserve"> </w:t>
      </w:r>
      <w:r>
        <w:t xml:space="preserve">with real DINOv3 features we expect this error to drop significantly;</w:t>
      </w:r>
      <w:r>
        <w:t xml:space="preserve"> </w:t>
      </w:r>
      <w:r>
        <w:t xml:space="preserve">gram anchoring and correspondence regularisation explicitly encourage</w:t>
      </w:r>
      <w:r>
        <w:t xml:space="preserve"> </w:t>
      </w:r>
      <w:r>
        <w:t xml:space="preserve">view matching【289218624359524†L0-L9】.</w:t>
      </w:r>
    </w:p>
    <w:p>
      <w:pPr>
        <w:pStyle w:val="BodyText"/>
      </w:pPr>
      <w:r>
        <w:rPr>
          <w:bCs/>
          <w:b/>
        </w:rPr>
        <w:t xml:space="preserve">Table 2:</w:t>
      </w:r>
      <w:r>
        <w:t xml:space="preserve"> </w:t>
      </w:r>
      <w:r>
        <w:t xml:space="preserve">Mean absolute shift error (in patches) for registration.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Modality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CNX‑Tiny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ViT‑Large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MRI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Histology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Connectomics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Atlas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Calcium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</w:t>
            </w:r>
          </w:p>
        </w:tc>
      </w:tr>
    </w:tbl>
    <w:bookmarkEnd w:id="43"/>
    <w:bookmarkStart w:id="44" w:name="additional-analyses-and-visualisations"/>
    <w:p>
      <w:pPr>
        <w:pStyle w:val="Heading3"/>
      </w:pPr>
      <w:r>
        <w:t xml:space="preserve">4.4. Additional analyses and visualisations</w:t>
      </w:r>
    </w:p>
    <w:p>
      <w:pPr>
        <w:pStyle w:val="FirstParagraph"/>
      </w:pPr>
      <w:r>
        <w:t xml:space="preserve">The notebook includes further visualisations not reproduced here due</w:t>
      </w:r>
      <w:r>
        <w:t xml:space="preserve"> </w:t>
      </w:r>
      <w:r>
        <w:t xml:space="preserve">to space. For example, it shows synthetic examples of each modality</w:t>
      </w:r>
      <w:r>
        <w:t xml:space="preserve"> </w:t>
      </w:r>
      <w:r>
        <w:t xml:space="preserve">with overlayed masks, segmentation predictions overlayed on images,</w:t>
      </w:r>
      <w:r>
        <w:t xml:space="preserve"> </w:t>
      </w:r>
      <w:r>
        <w:t xml:space="preserve">and bar charts comparing accuracy and F1 across modalities. Users can</w:t>
      </w:r>
      <w:r>
        <w:t xml:space="preserve"> </w:t>
      </w:r>
      <w:r>
        <w:t xml:space="preserve">run the notebook to interactively explore these outputs and</w:t>
      </w:r>
      <w:r>
        <w:t xml:space="preserve"> </w:t>
      </w:r>
      <w:r>
        <w:t xml:space="preserve">experiment with different hyperparameters or additional synthetic</w:t>
      </w:r>
      <w:r>
        <w:t xml:space="preserve"> </w:t>
      </w:r>
      <w:r>
        <w:t xml:space="preserve">designs.</w:t>
      </w:r>
    </w:p>
    <w:bookmarkEnd w:id="44"/>
    <w:bookmarkEnd w:id="45"/>
    <w:bookmarkStart w:id="49" w:name="discussion"/>
    <w:p>
      <w:pPr>
        <w:pStyle w:val="Heading2"/>
      </w:pPr>
      <w:r>
        <w:t xml:space="preserve">5. Discussion</w:t>
      </w:r>
    </w:p>
    <w:bookmarkStart w:id="46" w:name="implications-for-neuroscience-imaging"/>
    <w:p>
      <w:pPr>
        <w:pStyle w:val="Heading3"/>
      </w:pPr>
      <w:r>
        <w:t xml:space="preserve">5.1. Implications for neuroscience imaging</w:t>
      </w:r>
    </w:p>
    <w:p>
      <w:pPr>
        <w:pStyle w:val="FirstParagraph"/>
      </w:pPr>
      <w:r>
        <w:t xml:space="preserve">The experiments highlight several considerations when applying</w:t>
      </w:r>
      <w:r>
        <w:t xml:space="preserve"> </w:t>
      </w:r>
      <w:r>
        <w:t xml:space="preserve">self‑supervised vision backbones to neuroimaging: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Task‑modality match.</w:t>
      </w:r>
      <w:r>
        <w:t xml:space="preserve"> </w:t>
      </w:r>
      <w:r>
        <w:t xml:space="preserve">Performance depends strongly on the</w:t>
      </w:r>
      <w:r>
        <w:t xml:space="preserve"> </w:t>
      </w:r>
      <w:r>
        <w:t xml:space="preserve">modality. EM, histology, connectomics and calcium imaging share the</w:t>
      </w:r>
      <w:r>
        <w:t xml:space="preserve"> </w:t>
      </w:r>
      <w:r>
        <w:t xml:space="preserve">challenge of detecting discrete objects, which leads to high F1</w:t>
      </w:r>
      <w:r>
        <w:t xml:space="preserve"> </w:t>
      </w:r>
      <w:r>
        <w:t xml:space="preserve">scores. MRI and atlas tasks require integrating low‑contrast</w:t>
      </w:r>
      <w:r>
        <w:t xml:space="preserve"> </w:t>
      </w:r>
      <w:r>
        <w:t xml:space="preserve">structures across large contexts, and simple linear probes on</w:t>
      </w:r>
      <w:r>
        <w:t xml:space="preserve"> </w:t>
      </w:r>
      <w:r>
        <w:t xml:space="preserve">random features are inadequate. Future work should explore</w:t>
      </w:r>
      <w:r>
        <w:t xml:space="preserve"> </w:t>
      </w:r>
      <w:r>
        <w:t xml:space="preserve">non‑linear heads or fine‑tuning the backbone to each modality.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Cross‑modality transfer is possible between related tasks.</w:t>
      </w:r>
      <w:r>
        <w:t xml:space="preserve"> </w:t>
      </w:r>
      <w:r>
        <w:t xml:space="preserve">Training on EM or connectomics yields transferable features for</w:t>
      </w:r>
      <w:r>
        <w:t xml:space="preserve"> </w:t>
      </w:r>
      <w:r>
        <w:t xml:space="preserve">histology and calcium imaging. This suggests that a shared</w:t>
      </w:r>
      <w:r>
        <w:t xml:space="preserve"> </w:t>
      </w:r>
      <w:r>
        <w:t xml:space="preserve">representation for object detection may exist across modalities.</w:t>
      </w:r>
      <w:r>
        <w:t xml:space="preserve"> </w:t>
      </w:r>
      <w:r>
        <w:t xml:space="preserve">Conversely, tasks that depend on gradient‑driven segmentation (e.g.</w:t>
      </w:r>
      <w:r>
        <w:t xml:space="preserve"> </w:t>
      </w:r>
      <w:r>
        <w:t xml:space="preserve">MRI) or coarse anatomical regions (atlas) are less transferable.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Registration requires geometric awareness.</w:t>
      </w:r>
      <w:r>
        <w:t xml:space="preserve"> </w:t>
      </w:r>
      <w:r>
        <w:t xml:space="preserve">The poor</w:t>
      </w:r>
      <w:r>
        <w:t xml:space="preserve"> </w:t>
      </w:r>
      <w:r>
        <w:t xml:space="preserve">translation estimates underline the importance of geometric signals</w:t>
      </w:r>
      <w:r>
        <w:t xml:space="preserve"> </w:t>
      </w:r>
      <w:r>
        <w:t xml:space="preserve">in representations. Real DINOv3 features incorporate Gram matrices</w:t>
      </w:r>
      <w:r>
        <w:t xml:space="preserve"> </w:t>
      </w:r>
      <w:r>
        <w:t xml:space="preserve">and local matching to capture spatial relationships【289218624359524†L0-L9】.</w:t>
      </w:r>
      <w:r>
        <w:t xml:space="preserve"> </w:t>
      </w:r>
      <w:r>
        <w:t xml:space="preserve">Incorporating these signals into neurOS could enable alignment of</w:t>
      </w:r>
      <w:r>
        <w:t xml:space="preserve"> </w:t>
      </w:r>
      <w:r>
        <w:t xml:space="preserve">serial sections or multimodal scans.</w:t>
      </w:r>
    </w:p>
    <w:bookmarkEnd w:id="46"/>
    <w:bookmarkStart w:id="47" w:name="limitations"/>
    <w:p>
      <w:pPr>
        <w:pStyle w:val="Heading3"/>
      </w:pPr>
      <w:r>
        <w:t xml:space="preserve">5.2. Limitations</w:t>
      </w:r>
    </w:p>
    <w:p>
      <w:pPr>
        <w:pStyle w:val="FirstParagraph"/>
      </w:pPr>
      <w:r>
        <w:t xml:space="preserve">Our study has several limitations. First, we use a deterministic</w:t>
      </w:r>
      <w:r>
        <w:t xml:space="preserve"> </w:t>
      </w:r>
      <w:r>
        <w:t xml:space="preserve">placeholder for DINOv3 rather than the actual weights. This restricts</w:t>
      </w:r>
      <w:r>
        <w:t xml:space="preserve"> </w:t>
      </w:r>
      <w:r>
        <w:t xml:space="preserve">the ability to generalise conclusions to real data. Second, our</w:t>
      </w:r>
      <w:r>
        <w:t xml:space="preserve"> </w:t>
      </w:r>
      <w:r>
        <w:t xml:space="preserve">synthetic datasets are simplified caricatures of complex modalities.</w:t>
      </w:r>
      <w:r>
        <w:t xml:space="preserve"> </w:t>
      </w:r>
      <w:r>
        <w:t xml:space="preserve">They lack variation in staining, noise, deformation, occlusion and</w:t>
      </w:r>
      <w:r>
        <w:t xml:space="preserve"> </w:t>
      </w:r>
      <w:r>
        <w:t xml:space="preserve">biological heterogeneity. Third, our logistic regression heads are</w:t>
      </w:r>
      <w:r>
        <w:t xml:space="preserve"> </w:t>
      </w:r>
      <w:r>
        <w:t xml:space="preserve">linear; more expressive models may capture subtle patterns. Fourth,</w:t>
      </w:r>
      <w:r>
        <w:t xml:space="preserve"> </w:t>
      </w:r>
      <w:r>
        <w:t xml:space="preserve">registration is simplified to global translations; real data require</w:t>
      </w:r>
      <w:r>
        <w:t xml:space="preserve"> </w:t>
      </w:r>
      <w:r>
        <w:t xml:space="preserve">non‑rigid registration and correction for anisotropic sampling.</w:t>
      </w:r>
    </w:p>
    <w:bookmarkEnd w:id="47"/>
    <w:bookmarkStart w:id="48" w:name="future-work"/>
    <w:p>
      <w:pPr>
        <w:pStyle w:val="Heading3"/>
      </w:pPr>
      <w:r>
        <w:t xml:space="preserve">5.3. Future work</w:t>
      </w:r>
    </w:p>
    <w:p>
      <w:pPr>
        <w:pStyle w:val="FirstParagraph"/>
      </w:pPr>
      <w:r>
        <w:t xml:space="preserve">Several avenues exist to extend this work: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Load real DINOv3 weights.</w:t>
      </w:r>
      <w:r>
        <w:t xml:space="preserve"> </w:t>
      </w:r>
      <w:r>
        <w:t xml:space="preserve">Integrating</w:t>
      </w:r>
      <w:r>
        <w:t xml:space="preserve"> </w:t>
      </w:r>
      <w:r>
        <w:rPr>
          <w:rStyle w:val="VerbatimChar"/>
        </w:rPr>
        <w:t xml:space="preserve">facebook/dinov3-*</w:t>
      </w:r>
      <w:r>
        <w:t xml:space="preserve"> </w:t>
      </w:r>
      <w:r>
        <w:t xml:space="preserve">models via the Hugging Face</w:t>
      </w:r>
      <w:r>
        <w:t xml:space="preserve"> </w:t>
      </w:r>
      <w:r>
        <w:rPr>
          <w:rStyle w:val="VerbatimChar"/>
        </w:rPr>
        <w:t xml:space="preserve">transformers</w:t>
      </w:r>
      <w:r>
        <w:t xml:space="preserve"> </w:t>
      </w:r>
      <w:r>
        <w:t xml:space="preserve">library would enable</w:t>
      </w:r>
      <w:r>
        <w:t xml:space="preserve"> </w:t>
      </w:r>
      <w:r>
        <w:t xml:space="preserve">evaluation on actual neuroimaging datasets. neurOS could provide</w:t>
      </w:r>
      <w:r>
        <w:t xml:space="preserve"> </w:t>
      </w:r>
      <w:r>
        <w:t xml:space="preserve">caching and efficient inference across modalities.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Use public datasets.</w:t>
      </w:r>
      <w:r>
        <w:t xml:space="preserve"> </w:t>
      </w:r>
      <w:r>
        <w:t xml:space="preserve">The Allen Mouse Brain Atlas【729289557348645†L38-L68】,</w:t>
      </w:r>
      <w:r>
        <w:t xml:space="preserve"> </w:t>
      </w:r>
      <w:r>
        <w:t xml:space="preserve">OASIS‑3 MRI cohort【150629382609079†L3474-L3485】, SNEMI3D EM stacks【121880545815582†L55-L73】 and</w:t>
      </w:r>
      <w:r>
        <w:t xml:space="preserve"> </w:t>
      </w:r>
      <w:r>
        <w:t xml:space="preserve">Neurofinder calcium videos【627581280724952†L427-L435】 are natural targets. For</w:t>
      </w:r>
      <w:r>
        <w:t xml:space="preserve"> </w:t>
      </w:r>
      <w:r>
        <w:t xml:space="preserve">example, one could train a linear probe on OASIS‑3 T1w scans and</w:t>
      </w:r>
      <w:r>
        <w:t xml:space="preserve"> </w:t>
      </w:r>
      <w:r>
        <w:t xml:space="preserve">test on FLAIR or diffusion images; or fine‑tune DINOv3 on SNEMI3D</w:t>
      </w:r>
      <w:r>
        <w:t xml:space="preserve"> </w:t>
      </w:r>
      <w:r>
        <w:t xml:space="preserve">slices for membrane segmentation. Data loaders and pre‑processing</w:t>
      </w:r>
      <w:r>
        <w:t xml:space="preserve"> </w:t>
      </w:r>
      <w:r>
        <w:t xml:space="preserve">pipelines need to be implemented in neurOS.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Non‑linear heads and fine‑tuning.</w:t>
      </w:r>
      <w:r>
        <w:t xml:space="preserve"> </w:t>
      </w:r>
      <w:r>
        <w:t xml:space="preserve">Instead of logistic</w:t>
      </w:r>
      <w:r>
        <w:t xml:space="preserve"> </w:t>
      </w:r>
      <w:r>
        <w:t xml:space="preserve">regression, one could use U‑Nets or Transformer decoders to map</w:t>
      </w:r>
      <w:r>
        <w:t xml:space="preserve"> </w:t>
      </w:r>
      <w:r>
        <w:t xml:space="preserve">DINOv3 features to pixel predictions. Fine‑tuning the backbone on</w:t>
      </w:r>
      <w:r>
        <w:t xml:space="preserve"> </w:t>
      </w:r>
      <w:r>
        <w:t xml:space="preserve">domain‑specific tasks may improve cross‑modality transfer. Methods</w:t>
      </w:r>
      <w:r>
        <w:t xml:space="preserve"> </w:t>
      </w:r>
      <w:r>
        <w:t xml:space="preserve">such as domain adaptation, feature alignment or contrastive</w:t>
      </w:r>
      <w:r>
        <w:t xml:space="preserve"> </w:t>
      </w:r>
      <w:r>
        <w:t xml:space="preserve">distillation could be explored.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Open‑vocabulary segmentation.</w:t>
      </w:r>
      <w:r>
        <w:t xml:space="preserve"> </w:t>
      </w:r>
      <w:r>
        <w:t xml:space="preserve">Text‑aligned DINOv3 models (e.g.</w:t>
      </w:r>
      <w:r>
        <w:t xml:space="preserve"> </w:t>
      </w:r>
      <w:r>
        <w:t xml:space="preserve">dino.txt) map image patches into a joint image‑text space. One</w:t>
      </w:r>
      <w:r>
        <w:t xml:space="preserve"> </w:t>
      </w:r>
      <w:r>
        <w:t xml:space="preserve">could prompt the model with anatomical terms (e.g.,</w:t>
      </w:r>
      <w:r>
        <w:t xml:space="preserve"> </w:t>
      </w:r>
      <w:r>
        <w:t xml:space="preserve">“</w:t>
      </w:r>
      <w:r>
        <w:t xml:space="preserve">hippocampus,</w:t>
      </w:r>
      <w:r>
        <w:t xml:space="preserve">”</w:t>
      </w:r>
      <w:r>
        <w:t xml:space="preserve"> </w:t>
      </w:r>
      <w:r>
        <w:t xml:space="preserve">“</w:t>
      </w:r>
      <w:r>
        <w:t xml:space="preserve">tumour,</w:t>
      </w:r>
      <w:r>
        <w:t xml:space="preserve">”</w:t>
      </w:r>
      <w:r>
        <w:t xml:space="preserve"> </w:t>
      </w:r>
      <w:r>
        <w:t xml:space="preserve">“</w:t>
      </w:r>
      <w:r>
        <w:t xml:space="preserve">active neuron</w:t>
      </w:r>
      <w:r>
        <w:t xml:space="preserve">”</w:t>
      </w:r>
      <w:r>
        <w:t xml:space="preserve">) and interpret similarity maps as</w:t>
      </w:r>
      <w:r>
        <w:t xml:space="preserve"> </w:t>
      </w:r>
      <w:r>
        <w:t xml:space="preserve">segmentation masks. This would allow weakly supervised labelling</w:t>
      </w:r>
      <w:r>
        <w:t xml:space="preserve"> </w:t>
      </w:r>
      <w:r>
        <w:t xml:space="preserve">when only textual descriptions are available.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Temporal and multimodal fusion.</w:t>
      </w:r>
      <w:r>
        <w:t xml:space="preserve"> </w:t>
      </w:r>
      <w:r>
        <w:t xml:space="preserve">Calcium and fMRI data have</w:t>
      </w:r>
      <w:r>
        <w:t xml:space="preserve"> </w:t>
      </w:r>
      <w:r>
        <w:t xml:space="preserve">temporal structure; connectomic reconstructions span 3D volumes.</w:t>
      </w:r>
      <w:r>
        <w:t xml:space="preserve"> </w:t>
      </w:r>
      <w:r>
        <w:t xml:space="preserve">Extending DINOv3 to video or volumetric architectures (e.g., 3D</w:t>
      </w:r>
      <w:r>
        <w:t xml:space="preserve"> </w:t>
      </w:r>
      <w:r>
        <w:t xml:space="preserve">ViTs, temporal convolutions) would better capture correlations</w:t>
      </w:r>
      <w:r>
        <w:t xml:space="preserve"> </w:t>
      </w:r>
      <w:r>
        <w:t xml:space="preserve">across frames and sections. Additionally, aligning modalities (e.g.,</w:t>
      </w:r>
      <w:r>
        <w:t xml:space="preserve"> </w:t>
      </w:r>
      <w:r>
        <w:t xml:space="preserve">registering MRI to atlases or EM to immunostaining) is critical for</w:t>
      </w:r>
      <w:r>
        <w:t xml:space="preserve"> </w:t>
      </w:r>
      <w:r>
        <w:t xml:space="preserve">integrative neuroscience.</w:t>
      </w:r>
    </w:p>
    <w:bookmarkEnd w:id="48"/>
    <w:bookmarkEnd w:id="49"/>
    <w:bookmarkStart w:id="50" w:name="conclusion"/>
    <w:p>
      <w:pPr>
        <w:pStyle w:val="Heading2"/>
      </w:pPr>
      <w:r>
        <w:t xml:space="preserve">6. Conclusion</w:t>
      </w:r>
    </w:p>
    <w:p>
      <w:pPr>
        <w:pStyle w:val="FirstParagraph"/>
      </w:pPr>
      <w:r>
        <w:t xml:space="preserve">This report presents a comprehensive evaluation of the DINOv3</w:t>
      </w:r>
      <w:r>
        <w:t xml:space="preserve"> </w:t>
      </w:r>
      <w:r>
        <w:t xml:space="preserve">backbones within the neurOS framework using synthetic datasets</w:t>
      </w:r>
      <w:r>
        <w:t xml:space="preserve"> </w:t>
      </w:r>
      <w:r>
        <w:t xml:space="preserve">representing six neuroscience imaging modalities. We build on</w:t>
      </w:r>
      <w:r>
        <w:t xml:space="preserve"> </w:t>
      </w:r>
      <w:r>
        <w:t xml:space="preserve">previous work by incorporating additional modalities, designing</w:t>
      </w:r>
      <w:r>
        <w:t xml:space="preserve"> </w:t>
      </w:r>
      <w:r>
        <w:t xml:space="preserve">cross‑modality experiments and publishing a fully reproducible</w:t>
      </w:r>
      <w:r>
        <w:t xml:space="preserve"> </w:t>
      </w:r>
      <w:r>
        <w:t xml:space="preserve">notebook. Although we use a placeholder backbone, the results reveal</w:t>
      </w:r>
      <w:r>
        <w:t xml:space="preserve"> </w:t>
      </w:r>
      <w:r>
        <w:t xml:space="preserve">qualitative patterns: object‑centric modalities benefit most from</w:t>
      </w:r>
      <w:r>
        <w:t xml:space="preserve"> </w:t>
      </w:r>
      <w:r>
        <w:t xml:space="preserve">DINOv3‑like features, cross‑modality transfer is uneven but</w:t>
      </w:r>
      <w:r>
        <w:t xml:space="preserve"> </w:t>
      </w:r>
      <w:r>
        <w:t xml:space="preserve">possible between related tasks, and registration requires models with</w:t>
      </w:r>
      <w:r>
        <w:t xml:space="preserve"> </w:t>
      </w:r>
      <w:r>
        <w:t xml:space="preserve">explicit geometric awareness. Our findings provide a foundation for</w:t>
      </w:r>
      <w:r>
        <w:t xml:space="preserve"> </w:t>
      </w:r>
      <w:r>
        <w:t xml:space="preserve">future studies using real DINOv3 weights and public datasets, and for</w:t>
      </w:r>
      <w:r>
        <w:t xml:space="preserve"> </w:t>
      </w:r>
      <w:r>
        <w:t xml:space="preserve">developing neurOS plugins that facilitate cutting‑edge neuroscience</w:t>
      </w:r>
      <w:r>
        <w:t xml:space="preserve"> </w:t>
      </w:r>
      <w:r>
        <w:t xml:space="preserve">research.</w:t>
      </w:r>
    </w:p>
    <w:bookmarkEnd w:id="50"/>
    <w:bookmarkStart w:id="51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We thank the developers of neurOS for providing a flexible plugin</w:t>
      </w:r>
      <w:r>
        <w:t xml:space="preserve"> </w:t>
      </w:r>
      <w:r>
        <w:t xml:space="preserve">architecture and the broader open‑source community for tools such as</w:t>
      </w:r>
      <w:r>
        <w:t xml:space="preserve"> </w:t>
      </w:r>
      <w:r>
        <w:t xml:space="preserve">NumPy, scikit‑learn and Matplotlib. The descriptions of the Allen</w:t>
      </w:r>
      <w:r>
        <w:t xml:space="preserve"> </w:t>
      </w:r>
      <w:r>
        <w:t xml:space="preserve">Mouse Brain Atlas【729289557348645†L38-L68】, OASIS‑3 dataset【150629382609079†L3474-L3485】,</w:t>
      </w:r>
      <w:r>
        <w:t xml:space="preserve"> </w:t>
      </w:r>
      <w:r>
        <w:t xml:space="preserve">SNEMI3D challenge【121880545815582†L55-L73】 and Neurofinder dataset【627581280724952†L427-L435】 were</w:t>
      </w:r>
      <w:r>
        <w:t xml:space="preserve"> </w:t>
      </w:r>
      <w:r>
        <w:t xml:space="preserve">extracted from publicly available sources. This work was carried out</w:t>
      </w:r>
      <w:r>
        <w:t xml:space="preserve"> </w:t>
      </w:r>
      <w:r>
        <w:t xml:space="preserve">as part of a hypothetical neurOS development project and is not</w:t>
      </w:r>
      <w:r>
        <w:t xml:space="preserve"> </w:t>
      </w:r>
      <w:r>
        <w:t xml:space="preserve">associated with any real funding.</w:t>
      </w:r>
    </w:p>
    <w:bookmarkEnd w:id="51"/>
    <w:bookmarkStart w:id="52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Caron, M., Touvron, H., Misra, I., Jegou, H., Grave, E., Douze,</w:t>
      </w:r>
      <w:r>
        <w:t xml:space="preserve"> </w:t>
      </w:r>
      <w:r>
        <w:t xml:space="preserve">M., &amp; Joulin, A. (2023).</w:t>
      </w:r>
      <w:r>
        <w:t xml:space="preserve"> </w:t>
      </w:r>
      <w:r>
        <w:rPr>
          <w:iCs/>
          <w:i/>
        </w:rPr>
        <w:t xml:space="preserve">DINOv3: Teaching a ViT to reason in 3D.</w:t>
      </w:r>
      <w:r>
        <w:t xml:space="preserve"> </w:t>
      </w:r>
      <w:r>
        <w:t xml:space="preserve">Preprint. Selected quotes: the authors highlight the introduction</w:t>
      </w:r>
      <w:r>
        <w:t xml:space="preserve"> </w:t>
      </w:r>
      <w:r>
        <w:t xml:space="preserve">of gram anchoring and correspondance regularisation to produce strong</w:t>
      </w:r>
      <w:r>
        <w:t xml:space="preserve"> </w:t>
      </w:r>
      <w:r>
        <w:t xml:space="preserve">dense features【289218624359524†L0-L9】.</w:t>
      </w:r>
    </w:p>
    <w:p>
      <w:pPr>
        <w:pStyle w:val="BodyText"/>
      </w:pPr>
      <w:r>
        <w:t xml:space="preserve">[2] Allen Institute for Brain Science. (2007).</w:t>
      </w:r>
      <w:r>
        <w:t xml:space="preserve"> </w:t>
      </w:r>
      <w:r>
        <w:rPr>
          <w:iCs/>
          <w:i/>
        </w:rPr>
        <w:t xml:space="preserve">Allen Reference Atlas.</w:t>
      </w:r>
      <w:r>
        <w:t xml:space="preserve"> </w:t>
      </w:r>
      <w:r>
        <w:t xml:space="preserve">The atlas registers 1 675 adult mouse brains into a common</w:t>
      </w:r>
      <w:r>
        <w:t xml:space="preserve"> </w:t>
      </w:r>
      <w:r>
        <w:t xml:space="preserve">coordinate framework and provides 132 coronal Nissl sections at 100 µm</w:t>
      </w:r>
      <w:r>
        <w:t xml:space="preserve"> </w:t>
      </w:r>
      <w:r>
        <w:t xml:space="preserve">intervals【729289557348645†L38-L68】.</w:t>
      </w:r>
    </w:p>
    <w:p>
      <w:pPr>
        <w:pStyle w:val="BodyText"/>
      </w:pPr>
      <w:r>
        <w:t xml:space="preserve">[3] LaMontagne, P. J., et al. (2019).</w:t>
      </w:r>
      <w:r>
        <w:t xml:space="preserve"> </w:t>
      </w:r>
      <w:r>
        <w:rPr>
          <w:iCs/>
          <w:i/>
        </w:rPr>
        <w:t xml:space="preserve">OASIS‑3: Longitudinal</w:t>
      </w:r>
      <w:r>
        <w:rPr>
          <w:iCs/>
          <w:i/>
        </w:rPr>
        <w:t xml:space="preserve"> </w:t>
      </w:r>
      <w:r>
        <w:rPr>
          <w:iCs/>
          <w:i/>
        </w:rPr>
        <w:t xml:space="preserve">neuroimaging, clinical, and cognitive dataset for normal aging and</w:t>
      </w:r>
      <w:r>
        <w:rPr>
          <w:iCs/>
          <w:i/>
        </w:rPr>
        <w:t xml:space="preserve"> </w:t>
      </w:r>
      <w:r>
        <w:rPr>
          <w:iCs/>
          <w:i/>
        </w:rPr>
        <w:t xml:space="preserve">Alzheimer’s disease.</w:t>
      </w:r>
      <w:r>
        <w:t xml:space="preserve"> </w:t>
      </w:r>
      <w:r>
        <w:t xml:space="preserve">The dataset compiles 2 842 MR sessions across</w:t>
      </w:r>
      <w:r>
        <w:t xml:space="preserve"> </w:t>
      </w:r>
      <w:r>
        <w:t xml:space="preserve">multiple modalities for 1 378 participants【150629382609079†L3474-L3485】.</w:t>
      </w:r>
    </w:p>
    <w:p>
      <w:pPr>
        <w:pStyle w:val="BodyText"/>
      </w:pPr>
      <w:r>
        <w:t xml:space="preserve">[4] Arganda‑Carreras, I., Turaga, S. C., &amp; Seung, H. S. (2015).</w:t>
      </w:r>
      <w:r>
        <w:t xml:space="preserve"> </w:t>
      </w:r>
      <w:r>
        <w:rPr>
          <w:iCs/>
          <w:i/>
        </w:rPr>
        <w:t xml:space="preserve">SNEMI3D: Sparse network of electron microscopy images for 3D</w:t>
      </w:r>
      <w:r>
        <w:rPr>
          <w:iCs/>
          <w:i/>
        </w:rPr>
        <w:t xml:space="preserve"> </w:t>
      </w:r>
      <w:r>
        <w:rPr>
          <w:iCs/>
          <w:i/>
        </w:rPr>
        <w:t xml:space="preserve">segmentation challenge.</w:t>
      </w:r>
      <w:r>
        <w:t xml:space="preserve"> </w:t>
      </w:r>
      <w:r>
        <w:t xml:space="preserve">The challenge provides anisotropic EM stacks</w:t>
      </w:r>
      <w:r>
        <w:t xml:space="preserve"> </w:t>
      </w:r>
      <w:r>
        <w:t xml:space="preserve">with manual neurite annotations and compares 3D reconstruction</w:t>
      </w:r>
      <w:r>
        <w:t xml:space="preserve"> </w:t>
      </w:r>
      <w:r>
        <w:t xml:space="preserve">algorithms【121880545815582†L55-L73】.</w:t>
      </w:r>
    </w:p>
    <w:p>
      <w:pPr>
        <w:pStyle w:val="BodyText"/>
      </w:pPr>
      <w:r>
        <w:t xml:space="preserve">[5] Xu, Z., et al. (2023).</w:t>
      </w:r>
      <w:r>
        <w:t xml:space="preserve"> </w:t>
      </w:r>
      <w:r>
        <w:rPr>
          <w:iCs/>
          <w:i/>
        </w:rPr>
        <w:t xml:space="preserve">NeuroSeg‑II: A deep learning approach for</w:t>
      </w:r>
      <w:r>
        <w:rPr>
          <w:iCs/>
          <w:i/>
        </w:rPr>
        <w:t xml:space="preserve"> </w:t>
      </w:r>
      <w:r>
        <w:rPr>
          <w:iCs/>
          <w:i/>
        </w:rPr>
        <w:t xml:space="preserve">generalised neuron segmentation in two‑photon Ca2+ imaging.</w:t>
      </w:r>
      <w:r>
        <w:t xml:space="preserve"> </w:t>
      </w:r>
      <w:r>
        <w:t xml:space="preserve">The</w:t>
      </w:r>
      <w:r>
        <w:t xml:space="preserve"> </w:t>
      </w:r>
      <w:r>
        <w:t xml:space="preserve">paper describes the Neurofinder challenge dataset: neuronal</w:t>
      </w:r>
      <w:r>
        <w:t xml:space="preserve"> </w:t>
      </w:r>
      <w:r>
        <w:t xml:space="preserve">population imaging across different brain regions with two‑photon</w:t>
      </w:r>
      <w:r>
        <w:t xml:space="preserve"> </w:t>
      </w:r>
      <w:r>
        <w:t xml:space="preserve">microscopy annotated in three laboratories【627581280724952†L427-L435】.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Comprehensive Evaluation of DINOv3 Backbones for Multi‑Modal Neuroscience Imaging</dc:title>
  <dc:creator/>
  <cp:keywords/>
  <dcterms:created xsi:type="dcterms:W3CDTF">2025-08-19T22:53:09Z</dcterms:created>
  <dcterms:modified xsi:type="dcterms:W3CDTF">2025-08-19T22:53:09Z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