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i w:val="0"/>
          <w:color w:val="2E74B5"/>
          <w:sz w:val="20"/>
        </w:rPr>
        <w:t>RUNTIME TEST EVIDENCE</w:t>
      </w:r>
    </w:p>
    <w:p>
      <w:pPr>
        <w:spacing w:after="100"/>
      </w:pPr>
      <w:r>
        <w:rPr>
          <w:rFonts w:ascii="Calibri" w:hAnsi="Calibri"/>
          <w:b/>
          <w:i w:val="0"/>
          <w:color w:val="17365D"/>
          <w:sz w:val="50"/>
        </w:rPr>
        <w:t>Create DI and Submit MIGO via Standard SEGW OData</w:t>
      </w:r>
    </w:p>
    <w:p>
      <w:pPr>
        <w:spacing w:after="300"/>
      </w:pPr>
      <w:r>
        <w:rPr>
          <w:rFonts w:ascii="Calibri" w:hAnsi="Calibri"/>
          <w:b w:val="0"/>
          <w:i w:val="0"/>
          <w:color w:val="5F6B7A"/>
          <w:sz w:val="28"/>
        </w:rPr>
        <w:t>Postman execution, persisted document creation, and OData readback in QS4/700</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5484"/>
        <w:gridCol w:w="1500"/>
        <w:gridCol w:w="5484"/>
      </w:tblGrid>
      <w:tr>
        <w:tc>
          <w:tcPr>
            <w:tcW w:type="dxa" w:w="1500"/>
            <w:tcMar>
              <w:top w:w="80" w:type="dxa"/>
              <w:start w:w="120" w:type="dxa"/>
              <w:bottom w:w="80" w:type="dxa"/>
              <w:end w:w="120" w:type="dxa"/>
            </w:tcMar>
            <w:vAlign w:val="center"/>
            <w:shd w:fill="F2F4F7"/>
          </w:tcPr>
          <w:p>
            <w:pPr>
              <w:spacing w:after="0"/>
            </w:pPr>
            <w:r>
              <w:rPr>
                <w:rFonts w:ascii="Calibri" w:hAnsi="Calibri"/>
                <w:b/>
                <w:i w:val="0"/>
                <w:color w:val="5F6B7A"/>
                <w:sz w:val="19"/>
              </w:rPr>
              <w:t>Client</w:t>
            </w:r>
          </w:p>
        </w:tc>
        <w:tc>
          <w:tcPr>
            <w:tcW w:type="dxa" w:w="5484"/>
            <w:tcMar>
              <w:top w:w="80" w:type="dxa"/>
              <w:start w:w="120" w:type="dxa"/>
              <w:bottom w:w="80" w:type="dxa"/>
              <w:end w:w="120" w:type="dxa"/>
            </w:tcMar>
            <w:vAlign w:val="center"/>
            <w:shd w:fill="FFFFFF"/>
          </w:tcPr>
          <w:p>
            <w:pPr>
              <w:spacing w:after="0"/>
            </w:pPr>
            <w:r>
              <w:rPr>
                <w:rFonts w:ascii="Calibri" w:hAnsi="Calibri"/>
                <w:b w:val="0"/>
                <w:i w:val="0"/>
                <w:color w:val="1F2937"/>
                <w:sz w:val="21"/>
              </w:rPr>
              <w:t>Shree Cement</w:t>
            </w:r>
          </w:p>
        </w:tc>
        <w:tc>
          <w:tcPr>
            <w:tcW w:type="dxa" w:w="1500"/>
            <w:tcMar>
              <w:top w:w="80" w:type="dxa"/>
              <w:start w:w="120" w:type="dxa"/>
              <w:bottom w:w="80" w:type="dxa"/>
              <w:end w:w="120" w:type="dxa"/>
            </w:tcMar>
            <w:vAlign w:val="center"/>
            <w:shd w:fill="F2F4F7"/>
          </w:tcPr>
          <w:p>
            <w:pPr>
              <w:spacing w:after="0"/>
            </w:pPr>
            <w:r>
              <w:rPr>
                <w:rFonts w:ascii="Calibri" w:hAnsi="Calibri"/>
                <w:b/>
                <w:i w:val="0"/>
                <w:color w:val="5F6B7A"/>
                <w:sz w:val="19"/>
              </w:rPr>
              <w:t>Execution date</w:t>
            </w:r>
          </w:p>
        </w:tc>
        <w:tc>
          <w:tcPr>
            <w:tcW w:type="dxa" w:w="5484"/>
            <w:tcMar>
              <w:top w:w="80" w:type="dxa"/>
              <w:start w:w="120" w:type="dxa"/>
              <w:bottom w:w="80" w:type="dxa"/>
              <w:end w:w="120" w:type="dxa"/>
            </w:tcMar>
            <w:vAlign w:val="center"/>
            <w:shd w:fill="FFFFFF"/>
          </w:tcPr>
          <w:p>
            <w:pPr>
              <w:spacing w:after="0"/>
            </w:pPr>
            <w:r>
              <w:rPr>
                <w:rFonts w:ascii="Calibri" w:hAnsi="Calibri"/>
                <w:b w:val="0"/>
                <w:i w:val="0"/>
                <w:color w:val="1F2937"/>
                <w:sz w:val="21"/>
              </w:rPr>
              <w:t>26 August 2026</w:t>
            </w:r>
          </w:p>
        </w:tc>
      </w:tr>
      <w:tr>
        <w:tc>
          <w:tcPr>
            <w:tcW w:type="dxa" w:w="1500"/>
            <w:tcMar>
              <w:top w:w="80" w:type="dxa"/>
              <w:start w:w="120" w:type="dxa"/>
              <w:bottom w:w="80" w:type="dxa"/>
              <w:end w:w="120" w:type="dxa"/>
            </w:tcMar>
            <w:vAlign w:val="center"/>
            <w:shd w:fill="F2F4F7"/>
          </w:tcPr>
          <w:p>
            <w:pPr>
              <w:spacing w:after="0"/>
            </w:pPr>
            <w:r>
              <w:rPr>
                <w:rFonts w:ascii="Calibri" w:hAnsi="Calibri"/>
                <w:b/>
                <w:i w:val="0"/>
                <w:color w:val="5F6B7A"/>
                <w:sz w:val="19"/>
              </w:rPr>
              <w:t>System</w:t>
            </w:r>
          </w:p>
        </w:tc>
        <w:tc>
          <w:tcPr>
            <w:tcW w:type="dxa" w:w="5484"/>
            <w:tcMar>
              <w:top w:w="80" w:type="dxa"/>
              <w:start w:w="120" w:type="dxa"/>
              <w:bottom w:w="80" w:type="dxa"/>
              <w:end w:w="120" w:type="dxa"/>
            </w:tcMar>
            <w:vAlign w:val="center"/>
            <w:shd w:fill="FFFFFF"/>
          </w:tcPr>
          <w:p>
            <w:pPr>
              <w:spacing w:after="0"/>
            </w:pPr>
            <w:r>
              <w:rPr>
                <w:rFonts w:ascii="Calibri" w:hAnsi="Calibri"/>
                <w:b w:val="0"/>
                <w:i w:val="0"/>
                <w:color w:val="1F2937"/>
                <w:sz w:val="21"/>
              </w:rPr>
              <w:t>QS4 / client 700</w:t>
            </w:r>
          </w:p>
        </w:tc>
        <w:tc>
          <w:tcPr>
            <w:tcW w:type="dxa" w:w="1500"/>
            <w:tcMar>
              <w:top w:w="80" w:type="dxa"/>
              <w:start w:w="120" w:type="dxa"/>
              <w:bottom w:w="80" w:type="dxa"/>
              <w:end w:w="120" w:type="dxa"/>
            </w:tcMar>
            <w:vAlign w:val="center"/>
            <w:shd w:fill="F2F4F7"/>
          </w:tcPr>
          <w:p>
            <w:pPr>
              <w:spacing w:after="0"/>
            </w:pPr>
            <w:r>
              <w:rPr>
                <w:rFonts w:ascii="Calibri" w:hAnsi="Calibri"/>
                <w:b/>
                <w:i w:val="0"/>
                <w:color w:val="5F6B7A"/>
                <w:sz w:val="19"/>
              </w:rPr>
              <w:t>Execution user</w:t>
            </w:r>
          </w:p>
        </w:tc>
        <w:tc>
          <w:tcPr>
            <w:tcW w:type="dxa" w:w="5484"/>
            <w:tcMar>
              <w:top w:w="80" w:type="dxa"/>
              <w:start w:w="120" w:type="dxa"/>
              <w:bottom w:w="80" w:type="dxa"/>
              <w:end w:w="120" w:type="dxa"/>
            </w:tcMar>
            <w:vAlign w:val="center"/>
            <w:shd w:fill="FFFFFF"/>
          </w:tcPr>
          <w:p>
            <w:pPr>
              <w:spacing w:after="0"/>
            </w:pPr>
            <w:r>
              <w:rPr>
                <w:rFonts w:ascii="Calibri" w:hAnsi="Calibri"/>
                <w:b w:val="0"/>
                <w:i w:val="0"/>
                <w:color w:val="1F2937"/>
                <w:sz w:val="21"/>
              </w:rPr>
              <w:t>QNOVATE8</w:t>
            </w:r>
          </w:p>
        </w:tc>
      </w:tr>
    </w:tbl>
    <w:p>
      <w:pPr>
        <w:spacing w:before="260" w:after="80"/>
      </w:pPr>
      <w:r>
        <w:rPr>
          <w:rFonts w:ascii="Calibri" w:hAnsi="Calibri"/>
          <w:b/>
          <w:i w:val="0"/>
          <w:color w:val="2E74B5"/>
          <w:sz w:val="26"/>
        </w:rPr>
        <w:t>Outcome</w:t>
      </w:r>
    </w:p>
    <w:tbl>
      <w:tblPr>
        <w:tblW w:type="dxa" w:w="13968"/>
        <w:jc w:val="left"/>
        <w:tblLayout w:type="fixed"/>
        <w:tblLook w:firstColumn="1" w:firstRow="1" w:lastColumn="0" w:lastRow="0" w:noHBand="0" w:noVBand="1" w:val="04A0"/>
        <w:tblInd w:w="120" w:type="dxa"/>
        <w:tblBorders>
          <w:top w:val="single" w:sz="8" w:space="0" w:color="A7C7AD"/>
          <w:left w:val="single" w:sz="8" w:space="0" w:color="A7C7AD"/>
          <w:bottom w:val="single" w:sz="8" w:space="0" w:color="A7C7AD"/>
          <w:right w:val="single" w:sz="8" w:space="0" w:color="A7C7AD"/>
          <w:insideH w:val="single" w:sz="8" w:space="0" w:color="A7C7AD"/>
          <w:insideV w:val="single" w:sz="8" w:space="0" w:color="A7C7AD"/>
        </w:tblBorders>
      </w:tblPr>
      <w:tblGrid>
        <w:gridCol w:w="13968"/>
      </w:tblGrid>
      <w:tr>
        <w:tc>
          <w:tcPr>
            <w:tcW w:type="dxa" w:w="13968"/>
            <w:tcMar>
              <w:top w:w="80" w:type="dxa"/>
              <w:start w:w="120" w:type="dxa"/>
              <w:bottom w:w="80" w:type="dxa"/>
              <w:end w:w="120" w:type="dxa"/>
            </w:tcMar>
            <w:vAlign w:val="center"/>
            <w:shd w:fill="EAF4EA"/>
          </w:tcPr>
          <w:p>
            <w:pPr>
              <w:spacing w:after="0"/>
            </w:pPr>
            <w:r>
              <w:rPr>
                <w:rFonts w:ascii="Calibri" w:hAnsi="Calibri"/>
                <w:b/>
                <w:i w:val="0"/>
                <w:color w:val="2E6B3A"/>
                <w:sz w:val="24"/>
              </w:rPr>
              <w:t xml:space="preserve">PROVEN END TO END. </w:t>
            </w:r>
            <w:r>
              <w:rPr>
                <w:rFonts w:ascii="Calibri" w:hAnsi="Calibri"/>
                <w:b w:val="0"/>
                <w:i w:val="0"/>
                <w:color w:val="1F2937"/>
                <w:sz w:val="22"/>
              </w:rPr>
              <w:t>The standard delivery and material-document OData services both completed real business writes. Create DI produced outbound delivery 9004953278; Submit MIGO produced material document 5007138638 / 2026. Independent GETs confirmed persistence. No BAPI was called.</w:t>
            </w:r>
          </w:p>
        </w:tc>
      </w:tr>
    </w:tbl>
    <w:p>
      <w:pPr>
        <w:pStyle w:val="Heading2"/>
        <w:spacing w:before="260"/>
      </w:pPr>
      <w:r>
        <w:rPr>
          <w:rFonts w:ascii="Calibri" w:hAnsi="Calibri"/>
          <w:b/>
          <w:i w:val="0"/>
          <w:color w:val="2E74B5"/>
          <w:sz w:val="26"/>
        </w:rPr>
        <w:t>API state at the close of this evidence run</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600"/>
        <w:gridCol w:w="2100"/>
        <w:gridCol w:w="8268"/>
      </w:tblGrid>
      <w:tr>
        <w:tc>
          <w:tcPr>
            <w:tcW w:type="dxa" w:w="3600"/>
            <w:tcMar>
              <w:top w:w="80" w:type="dxa"/>
              <w:start w:w="120" w:type="dxa"/>
              <w:bottom w:w="80" w:type="dxa"/>
              <w:end w:w="120" w:type="dxa"/>
            </w:tcMar>
            <w:vAlign w:val="center"/>
            <w:shd w:fill="E8EEF5"/>
          </w:tcPr>
          <w:p>
            <w:pPr>
              <w:spacing w:after="0"/>
            </w:pPr>
            <w:r>
              <w:rPr>
                <w:rFonts w:ascii="Calibri" w:hAnsi="Calibri"/>
                <w:b/>
                <w:i w:val="0"/>
                <w:color w:val="1F2937"/>
                <w:sz w:val="19"/>
              </w:rPr>
              <w:t>API / route</w:t>
            </w:r>
          </w:p>
        </w:tc>
        <w:tc>
          <w:tcPr>
            <w:tcW w:type="dxa" w:w="2100"/>
            <w:tcMar>
              <w:top w:w="80" w:type="dxa"/>
              <w:start w:w="120" w:type="dxa"/>
              <w:bottom w:w="80" w:type="dxa"/>
              <w:end w:w="120" w:type="dxa"/>
            </w:tcMar>
            <w:vAlign w:val="center"/>
            <w:shd w:fill="E8EEF5"/>
          </w:tcPr>
          <w:p>
            <w:pPr>
              <w:spacing w:after="0"/>
            </w:pPr>
            <w:r>
              <w:rPr>
                <w:rFonts w:ascii="Calibri" w:hAnsi="Calibri"/>
                <w:b/>
                <w:i w:val="0"/>
                <w:color w:val="1F2937"/>
                <w:sz w:val="19"/>
              </w:rPr>
              <w:t>State</w:t>
            </w:r>
          </w:p>
        </w:tc>
        <w:tc>
          <w:tcPr>
            <w:tcW w:type="dxa" w:w="8268"/>
            <w:tcMar>
              <w:top w:w="80" w:type="dxa"/>
              <w:start w:w="120" w:type="dxa"/>
              <w:bottom w:w="80" w:type="dxa"/>
              <w:end w:w="120" w:type="dxa"/>
            </w:tcMar>
            <w:vAlign w:val="center"/>
            <w:shd w:fill="E8EEF5"/>
          </w:tcPr>
          <w:p>
            <w:pPr>
              <w:spacing w:after="0"/>
            </w:pPr>
            <w:r>
              <w:rPr>
                <w:rFonts w:ascii="Calibri" w:hAnsi="Calibri"/>
                <w:b/>
                <w:i w:val="0"/>
                <w:color w:val="1F2937"/>
                <w:sz w:val="19"/>
              </w:rPr>
              <w:t>Evidence-based meaning</w:t>
            </w:r>
          </w:p>
        </w:tc>
      </w:tr>
      <w:tr>
        <w:tc>
          <w:tcPr>
            <w:tcW w:type="dxa" w:w="3600"/>
            <w:tcMar>
              <w:top w:w="80" w:type="dxa"/>
              <w:start w:w="120" w:type="dxa"/>
              <w:bottom w:w="80" w:type="dxa"/>
              <w:end w:w="120" w:type="dxa"/>
            </w:tcMar>
            <w:vAlign w:val="center"/>
            <w:shd w:fill="FFFFFF"/>
          </w:tcPr>
          <w:p>
            <w:pPr>
              <w:spacing w:after="0"/>
            </w:pPr>
            <w:r>
              <w:rPr>
                <w:rFonts w:ascii="Calibri" w:hAnsi="Calibri"/>
                <w:b w:val="0"/>
                <w:i w:val="0"/>
                <w:color w:val="1F2937"/>
                <w:sz w:val="19"/>
              </w:rPr>
              <w:t>Create DI / API_OUTBOUND_DELIVERY_SRV;v=2</w:t>
            </w:r>
          </w:p>
        </w:tc>
        <w:tc>
          <w:tcPr>
            <w:tcW w:type="dxa" w:w="2100"/>
            <w:tcMar>
              <w:top w:w="80" w:type="dxa"/>
              <w:start w:w="120" w:type="dxa"/>
              <w:bottom w:w="80" w:type="dxa"/>
              <w:end w:w="120" w:type="dxa"/>
            </w:tcMar>
            <w:vAlign w:val="center"/>
            <w:shd w:fill="FFFFFF"/>
          </w:tcPr>
          <w:p>
            <w:pPr>
              <w:spacing w:after="0"/>
            </w:pPr>
            <w:r>
              <w:rPr>
                <w:rFonts w:ascii="Calibri" w:hAnsi="Calibri"/>
                <w:b/>
                <w:i w:val="0"/>
                <w:color w:val="2E6B3A"/>
                <w:sz w:val="19"/>
              </w:rPr>
              <w:t>PROVEN</w:t>
            </w:r>
          </w:p>
        </w:tc>
        <w:tc>
          <w:tcPr>
            <w:tcW w:type="dxa" w:w="8268"/>
            <w:tcMar>
              <w:top w:w="80" w:type="dxa"/>
              <w:start w:w="120" w:type="dxa"/>
              <w:bottom w:w="80" w:type="dxa"/>
              <w:end w:w="120" w:type="dxa"/>
            </w:tcMar>
            <w:vAlign w:val="center"/>
            <w:shd w:fill="FFFFFF"/>
          </w:tcPr>
          <w:p>
            <w:pPr>
              <w:spacing w:after="0"/>
            </w:pPr>
            <w:r>
              <w:rPr>
                <w:rFonts w:ascii="Calibri" w:hAnsi="Calibri"/>
                <w:b w:val="0"/>
                <w:i w:val="0"/>
                <w:color w:val="1F2937"/>
                <w:sz w:val="19"/>
              </w:rPr>
              <w:t>Authenticated, CSRF-enabled, deep insert accepted, HTTP 201 returned, and the created document was readable by header and predecessor-linked item.</w:t>
            </w:r>
          </w:p>
        </w:tc>
      </w:tr>
      <w:tr>
        <w:tc>
          <w:tcPr>
            <w:tcW w:type="dxa" w:w="3600"/>
            <w:tcMar>
              <w:top w:w="80" w:type="dxa"/>
              <w:start w:w="120" w:type="dxa"/>
              <w:bottom w:w="80" w:type="dxa"/>
              <w:end w:w="120" w:type="dxa"/>
            </w:tcMar>
            <w:vAlign w:val="center"/>
            <w:shd w:fill="FFFFFF"/>
          </w:tcPr>
          <w:p>
            <w:pPr>
              <w:spacing w:after="0"/>
            </w:pPr>
            <w:r>
              <w:rPr>
                <w:rFonts w:ascii="Calibri" w:hAnsi="Calibri"/>
                <w:b w:val="0"/>
                <w:i w:val="0"/>
                <w:color w:val="1F2937"/>
                <w:sz w:val="19"/>
              </w:rPr>
              <w:t>Submit MIGO / API_MATERIAL_DOCUMENT_SRV</w:t>
            </w:r>
          </w:p>
        </w:tc>
        <w:tc>
          <w:tcPr>
            <w:tcW w:type="dxa" w:w="2100"/>
            <w:tcMar>
              <w:top w:w="80" w:type="dxa"/>
              <w:start w:w="120" w:type="dxa"/>
              <w:bottom w:w="80" w:type="dxa"/>
              <w:end w:w="120" w:type="dxa"/>
            </w:tcMar>
            <w:vAlign w:val="center"/>
            <w:shd w:fill="FFFFFF"/>
          </w:tcPr>
          <w:p>
            <w:pPr>
              <w:spacing w:after="0"/>
            </w:pPr>
            <w:r>
              <w:rPr>
                <w:rFonts w:ascii="Calibri" w:hAnsi="Calibri"/>
                <w:b/>
                <w:i w:val="0"/>
                <w:color w:val="2E6B3A"/>
                <w:sz w:val="19"/>
              </w:rPr>
              <w:t>PROVEN</w:t>
            </w:r>
          </w:p>
        </w:tc>
        <w:tc>
          <w:tcPr>
            <w:tcW w:type="dxa" w:w="8268"/>
            <w:tcMar>
              <w:top w:w="80" w:type="dxa"/>
              <w:start w:w="120" w:type="dxa"/>
              <w:bottom w:w="80" w:type="dxa"/>
              <w:end w:w="120" w:type="dxa"/>
            </w:tcMar>
            <w:vAlign w:val="center"/>
            <w:shd w:fill="FFFFFF"/>
          </w:tcPr>
          <w:p>
            <w:pPr>
              <w:spacing w:after="0"/>
            </w:pPr>
            <w:r>
              <w:rPr>
                <w:rFonts w:ascii="Calibri" w:hAnsi="Calibri"/>
                <w:b w:val="0"/>
                <w:i w:val="0"/>
                <w:color w:val="1F2937"/>
                <w:sz w:val="19"/>
              </w:rPr>
              <w:t>A fully goods-issued STO delivery was validated, the OData POST returned HTTP 201, and an expanded GET returned the persisted movement-101 item with its delivery link.</w:t>
            </w:r>
          </w:p>
        </w:tc>
      </w:tr>
    </w:tbl>
    <w:p>
      <w:pPr>
        <w:pStyle w:val="Heading1"/>
        <w:pageBreakBefore/>
      </w:pPr>
      <w:r>
        <w:rPr>
          <w:rFonts w:ascii="Calibri" w:hAnsi="Calibri"/>
          <w:b/>
          <w:i w:val="0"/>
          <w:color w:val="2E74B5"/>
          <w:sz w:val="32"/>
        </w:rPr>
        <w:t>Create DI execution flow and evidence register</w:t>
      </w:r>
    </w:p>
    <w:p>
      <w:r>
        <w:rPr>
          <w:rFonts w:ascii="Calibri" w:hAnsi="Calibri"/>
          <w:b w:val="0"/>
          <w:i w:val="0"/>
          <w:color w:val="1F2937"/>
          <w:sz w:val="22"/>
        </w:rPr>
        <w:t>The Create DI evidence is ordered from controlled Postman setup to persisted SAP readback. The later Submit MIGO section continues the same client-facing evidence pattern without repeating setup or configuration screens.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3700"/>
        <w:gridCol w:w="2500"/>
        <w:gridCol w:w="6868"/>
      </w:tblGrid>
      <w:tr>
        <w:tc>
          <w:tcPr>
            <w:tcW w:type="dxa" w:w="900"/>
            <w:tcMar>
              <w:top w:w="80" w:type="dxa"/>
              <w:start w:w="120" w:type="dxa"/>
              <w:bottom w:w="80" w:type="dxa"/>
              <w:end w:w="120" w:type="dxa"/>
            </w:tcMar>
            <w:vAlign w:val="center"/>
            <w:shd w:fill="E8EEF5"/>
          </w:tcPr>
          <w:p>
            <w:pPr>
              <w:spacing w:after="0"/>
              <w:jc w:val="left"/>
            </w:pPr>
            <w:r>
              <w:rPr>
                <w:rFonts w:ascii="Calibri" w:hAnsi="Calibri"/>
                <w:b/>
                <w:i w:val="0"/>
                <w:color w:val="1F2937"/>
                <w:sz w:val="18"/>
              </w:rPr>
              <w:t>Step</w:t>
            </w:r>
          </w:p>
        </w:tc>
        <w:tc>
          <w:tcPr>
            <w:tcW w:type="dxa" w:w="3700"/>
            <w:tcMar>
              <w:top w:w="80" w:type="dxa"/>
              <w:start w:w="120" w:type="dxa"/>
              <w:bottom w:w="80" w:type="dxa"/>
              <w:end w:w="120" w:type="dxa"/>
            </w:tcMar>
            <w:vAlign w:val="center"/>
            <w:shd w:fill="E8EEF5"/>
          </w:tcPr>
          <w:p>
            <w:pPr>
              <w:spacing w:after="0"/>
              <w:jc w:val="left"/>
            </w:pPr>
            <w:r>
              <w:rPr>
                <w:rFonts w:ascii="Calibri" w:hAnsi="Calibri"/>
                <w:b/>
                <w:i w:val="0"/>
                <w:color w:val="1F2937"/>
                <w:sz w:val="18"/>
              </w:rPr>
              <w:t>Action</w:t>
            </w:r>
          </w:p>
        </w:tc>
        <w:tc>
          <w:tcPr>
            <w:tcW w:type="dxa" w:w="2500"/>
            <w:tcMar>
              <w:top w:w="80" w:type="dxa"/>
              <w:start w:w="120" w:type="dxa"/>
              <w:bottom w:w="80" w:type="dxa"/>
              <w:end w:w="120" w:type="dxa"/>
            </w:tcMar>
            <w:vAlign w:val="center"/>
            <w:shd w:fill="E8EEF5"/>
          </w:tcPr>
          <w:p>
            <w:pPr>
              <w:spacing w:after="0"/>
              <w:jc w:val="left"/>
            </w:pPr>
            <w:r>
              <w:rPr>
                <w:rFonts w:ascii="Calibri" w:hAnsi="Calibri"/>
                <w:b/>
                <w:i w:val="0"/>
                <w:color w:val="1F2937"/>
                <w:sz w:val="18"/>
              </w:rPr>
              <w:t>Observed result</w:t>
            </w:r>
          </w:p>
        </w:tc>
        <w:tc>
          <w:tcPr>
            <w:tcW w:type="dxa" w:w="6868"/>
            <w:tcMar>
              <w:top w:w="80" w:type="dxa"/>
              <w:start w:w="120" w:type="dxa"/>
              <w:bottom w:w="80" w:type="dxa"/>
              <w:end w:w="120" w:type="dxa"/>
            </w:tcMar>
            <w:vAlign w:val="center"/>
            <w:shd w:fill="E8EEF5"/>
          </w:tcPr>
          <w:p>
            <w:pPr>
              <w:spacing w:after="0"/>
              <w:jc w:val="left"/>
            </w:pPr>
            <w:r>
              <w:rPr>
                <w:rFonts w:ascii="Calibri" w:hAnsi="Calibri"/>
                <w:b/>
                <w:i w:val="0"/>
                <w:color w:val="1F2937"/>
                <w:sz w:val="18"/>
              </w:rPr>
              <w:t>What the result establishes</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01</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Import certified Postman assets</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4 of 4 imported</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Both collections and both QS4 environments were available in the workspace.</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02</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Fetch CSRF token from delivery service</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Authentication, service activation, CSRF issuance and session continuity worked.</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03</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Read STO predecessor deliveries</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 50 TO already delivered</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selected predecessor was valid and retained sufficient capacity for a 1 TO create.</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04</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POST Create DI</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201; delivery 9004953278</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standard deep-insert route created a real SAP outbound-delivery document.</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05</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Read created delivery header</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 header persisted</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returned key was not transient; the document header existed in SAP.</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06</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Read predecessor-linked item</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 1 TO item persisted</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created quantity, unit and STO predecessor linkage were independently readable.</w:t>
            </w:r>
          </w:p>
        </w:tc>
      </w:tr>
    </w:tbl>
    <w:p>
      <w:pPr>
        <w:pStyle w:val="Heading2"/>
        <w:spacing w:before="240"/>
      </w:pPr>
      <w:r>
        <w:rPr>
          <w:rFonts w:ascii="Calibri" w:hAnsi="Calibri"/>
          <w:b/>
          <w:i w:val="0"/>
          <w:color w:val="2E74B5"/>
          <w:sz w:val="26"/>
        </w:rPr>
        <w:t>Test identity</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service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API_OUTBOUND_DELIVERY_SRV;v=2</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A_OutbDeliveryHeader</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business operation</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Create DI from STO predecessor</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predecessor</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5600084222 / 000010</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shipping point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1002</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requested 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 TO</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created 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9004953278 / 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execution mode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Postman Desktop Agent through VPN</w:t>
            </w:r>
          </w:p>
        </w:tc>
      </w:tr>
    </w:tbl>
    <w:p>
      <w:pPr>
        <w:pageBreakBefore/>
        <w:spacing w:before="40" w:after="40"/>
      </w:pPr>
      <w:r>
        <w:rPr>
          <w:rFonts w:ascii="Calibri" w:hAnsi="Calibri"/>
          <w:b/>
          <w:i w:val="0"/>
          <w:color w:val="2E74B5"/>
          <w:sz w:val="19"/>
        </w:rPr>
        <w:t>STEP 01</w:t>
      </w:r>
    </w:p>
    <w:p>
      <w:pPr>
        <w:spacing w:after="100"/>
      </w:pPr>
      <w:r>
        <w:rPr>
          <w:rFonts w:ascii="Calibri" w:hAnsi="Calibri"/>
          <w:b/>
          <w:i w:val="0"/>
          <w:color w:val="17365D"/>
          <w:sz w:val="34"/>
        </w:rPr>
        <w:t>Certified Postman assets imported</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import result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4 of 4 elements</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collections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environments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workspace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Siddharth Shrivastav's Workspace</w:t>
            </w:r>
          </w:p>
        </w:tc>
      </w:tr>
    </w:tbl>
    <w:p>
      <w:pPr>
        <w:spacing w:before="100" w:after="0"/>
        <w:jc w:val="center"/>
      </w:pPr>
      <w:r>
        <w:drawing>
          <wp:inline xmlns:a="http://schemas.openxmlformats.org/drawingml/2006/main" xmlns:pic="http://schemas.openxmlformats.org/drawingml/2006/picture">
            <wp:extent cx="8366760" cy="4338320"/>
            <wp:docPr id="1" name="Picture 1" descr="Figure 1. Postman confirms successful import of both collections and both QS4 environments." title="Evidence step 01"/>
            <wp:cNvGraphicFramePr>
              <a:graphicFrameLocks noChangeAspect="1"/>
            </wp:cNvGraphicFramePr>
            <a:graphic>
              <a:graphicData uri="http://schemas.openxmlformats.org/drawingml/2006/picture">
                <pic:pic>
                  <pic:nvPicPr>
                    <pic:cNvPr id="0" name="codex-clipboard-e5249ad4-ef82-4376-8d7f-3afebada29dc.png"/>
                    <pic:cNvPicPr/>
                  </pic:nvPicPr>
                  <pic:blipFill>
                    <a:blip r:embed="rId11"/>
                    <a:stretch>
                      <a:fillRect/>
                    </a:stretch>
                  </pic:blipFill>
                  <pic:spPr>
                    <a:xfrm>
                      <a:off x="0" y="0"/>
                      <a:ext cx="8366760" cy="4338320"/>
                    </a:xfrm>
                    <a:prstGeom prst="rect"/>
                  </pic:spPr>
                </pic:pic>
              </a:graphicData>
            </a:graphic>
          </wp:inline>
        </w:drawing>
      </w:r>
    </w:p>
    <w:p>
      <w:pPr>
        <w:pStyle w:val="Caption"/>
      </w:pPr>
      <w:r>
        <w:t>Figure 1. Postman confirms successful import of both collections and both QS4 environments.</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test assets were available as controlled collections and environments rather than manually assembled URLs. This reduces payload drift between operators.</w:t>
            </w:r>
          </w:p>
        </w:tc>
      </w:tr>
    </w:tbl>
    <w:p>
      <w:pPr>
        <w:pageBreakBefore/>
        <w:spacing w:before="40" w:after="40"/>
      </w:pPr>
      <w:r>
        <w:rPr>
          <w:rFonts w:ascii="Calibri" w:hAnsi="Calibri"/>
          <w:b/>
          <w:i w:val="0"/>
          <w:color w:val="2E74B5"/>
          <w:sz w:val="19"/>
        </w:rPr>
        <w:t>STEP 02</w:t>
      </w:r>
    </w:p>
    <w:p>
      <w:pPr>
        <w:spacing w:after="100"/>
      </w:pPr>
      <w:r>
        <w:rPr>
          <w:rFonts w:ascii="Calibri" w:hAnsi="Calibri"/>
          <w:b/>
          <w:i w:val="0"/>
          <w:color w:val="17365D"/>
          <w:sz w:val="34"/>
        </w:rPr>
        <w:t>Delivery service responds and issues CSRF</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executor</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Desktop Agent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GET</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service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API_OUTBOUND_DELIVERY_SRV;v=2</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elapsed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964 ms</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response size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1.02 KB</w:t>
            </w:r>
          </w:p>
        </w:tc>
      </w:tr>
    </w:tbl>
    <w:p>
      <w:pPr>
        <w:spacing w:before="100" w:after="0"/>
        <w:jc w:val="center"/>
      </w:pPr>
      <w:r>
        <w:drawing>
          <wp:inline xmlns:a="http://schemas.openxmlformats.org/drawingml/2006/main" xmlns:pic="http://schemas.openxmlformats.org/drawingml/2006/picture">
            <wp:extent cx="8366760" cy="4388405"/>
            <wp:docPr id="2" name="Picture 2" descr="Figure 2. The delivery-service root returns HTTP 200 and supplies the CSRF token." title="Evidence step 02"/>
            <wp:cNvGraphicFramePr>
              <a:graphicFrameLocks noChangeAspect="1"/>
            </wp:cNvGraphicFramePr>
            <a:graphic>
              <a:graphicData uri="http://schemas.openxmlformats.org/drawingml/2006/picture">
                <pic:pic>
                  <pic:nvPicPr>
                    <pic:cNvPr id="0" name="codex-clipboard-14bb1c98-bc47-423a-9b9a-8d0b0fd2e948.png"/>
                    <pic:cNvPicPr/>
                  </pic:nvPicPr>
                  <pic:blipFill>
                    <a:blip r:embed="rId12"/>
                    <a:stretch>
                      <a:fillRect/>
                    </a:stretch>
                  </pic:blipFill>
                  <pic:spPr>
                    <a:xfrm>
                      <a:off x="0" y="0"/>
                      <a:ext cx="8366760" cy="4388405"/>
                    </a:xfrm>
                    <a:prstGeom prst="rect"/>
                  </pic:spPr>
                </pic:pic>
              </a:graphicData>
            </a:graphic>
          </wp:inline>
        </w:drawing>
      </w:r>
    </w:p>
    <w:p>
      <w:pPr>
        <w:pStyle w:val="Caption"/>
      </w:pPr>
      <w:r>
        <w:t>Figure 2. The delivery-service root returns HTTP 200 and supplies the CSRF token.</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delivery service was reachable and authenticated, returned HTTP 200, and issued the CSRF token required for the controlled write. The collection stored the token automatically.</w:t>
            </w:r>
          </w:p>
        </w:tc>
      </w:tr>
    </w:tbl>
    <w:p>
      <w:pPr>
        <w:pageBreakBefore/>
        <w:spacing w:before="40" w:after="40"/>
      </w:pPr>
      <w:r>
        <w:rPr>
          <w:rFonts w:ascii="Calibri" w:hAnsi="Calibri"/>
          <w:b/>
          <w:i w:val="0"/>
          <w:color w:val="2E74B5"/>
          <w:sz w:val="19"/>
        </w:rPr>
        <w:t>STEP 03</w:t>
      </w:r>
    </w:p>
    <w:p>
      <w:pPr>
        <w:spacing w:after="100"/>
      </w:pPr>
      <w:r>
        <w:rPr>
          <w:rFonts w:ascii="Calibri" w:hAnsi="Calibri"/>
          <w:b/>
          <w:i w:val="0"/>
          <w:color w:val="17365D"/>
          <w:sz w:val="34"/>
        </w:rPr>
        <w:t>Predecessor read validates the Create DI candidate</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GET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STO predecessor</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5600084222 / 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existing 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9004953191 / 000010</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existing 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50.000 TO</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planned create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 TO</w:t>
            </w:r>
          </w:p>
        </w:tc>
      </w:tr>
    </w:tbl>
    <w:p>
      <w:pPr>
        <w:spacing w:before="100" w:after="0"/>
        <w:jc w:val="center"/>
      </w:pPr>
      <w:r>
        <w:drawing>
          <wp:inline xmlns:a="http://schemas.openxmlformats.org/drawingml/2006/main" xmlns:pic="http://schemas.openxmlformats.org/drawingml/2006/picture">
            <wp:extent cx="8366760" cy="4423303"/>
            <wp:docPr id="3" name="Picture 3" descr="Figure 3. OData predecessor read returns the existing 50 TO delivery before the write." title="Evidence step 03"/>
            <wp:cNvGraphicFramePr>
              <a:graphicFrameLocks noChangeAspect="1"/>
            </wp:cNvGraphicFramePr>
            <a:graphic>
              <a:graphicData uri="http://schemas.openxmlformats.org/drawingml/2006/picture">
                <pic:pic>
                  <pic:nvPicPr>
                    <pic:cNvPr id="0" name="codex-clipboard-5582a4c8-1c7f-46cf-a420-19aded652fcd.png"/>
                    <pic:cNvPicPr/>
                  </pic:nvPicPr>
                  <pic:blipFill>
                    <a:blip r:embed="rId13"/>
                    <a:stretch>
                      <a:fillRect/>
                    </a:stretch>
                  </pic:blipFill>
                  <pic:spPr>
                    <a:xfrm>
                      <a:off x="0" y="0"/>
                      <a:ext cx="8366760" cy="4423303"/>
                    </a:xfrm>
                    <a:prstGeom prst="rect"/>
                  </pic:spPr>
                </pic:pic>
              </a:graphicData>
            </a:graphic>
          </wp:inline>
        </w:drawing>
      </w:r>
    </w:p>
    <w:p>
      <w:pPr>
        <w:pStyle w:val="Caption"/>
      </w:pPr>
      <w:r>
        <w:t>Figure 3. OData predecessor read returns the existing 50 TO delivery before the write.</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predecessor query returned a real outbound-delivery item for the selected STO. Against the documented 1,000 TO PO quantity, 50 TO was already delivered, leaving 950 TO capacity before the 1 TO create. The side-panel persistence warning is expected at this preflight stage because the new delivery key did not yet exist.</w:t>
            </w:r>
          </w:p>
        </w:tc>
      </w:tr>
    </w:tbl>
    <w:p>
      <w:pPr>
        <w:pageBreakBefore/>
        <w:spacing w:before="40" w:after="40"/>
      </w:pPr>
      <w:r>
        <w:rPr>
          <w:rFonts w:ascii="Calibri" w:hAnsi="Calibri"/>
          <w:b/>
          <w:i w:val="0"/>
          <w:color w:val="2E74B5"/>
          <w:sz w:val="19"/>
        </w:rPr>
        <w:t>STEP 04</w:t>
      </w:r>
    </w:p>
    <w:p>
      <w:pPr>
        <w:spacing w:after="100"/>
      </w:pPr>
      <w:r>
        <w:rPr>
          <w:rFonts w:ascii="Calibri" w:hAnsi="Calibri"/>
          <w:b/>
          <w:i w:val="0"/>
          <w:color w:val="17365D"/>
          <w:sz w:val="34"/>
        </w:rPr>
        <w:t>Create DI deep insert creates a real delivery</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POST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A_OutbDeliveryHeader</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201 Created</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elapsed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1.07 s</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created 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9004953278</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requested 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 TO</w:t>
            </w:r>
          </w:p>
        </w:tc>
      </w:tr>
    </w:tbl>
    <w:p>
      <w:pPr>
        <w:spacing w:before="100" w:after="0"/>
        <w:jc w:val="center"/>
      </w:pPr>
      <w:r>
        <w:drawing>
          <wp:inline xmlns:a="http://schemas.openxmlformats.org/drawingml/2006/main" xmlns:pic="http://schemas.openxmlformats.org/drawingml/2006/picture">
            <wp:extent cx="8366760" cy="4388405"/>
            <wp:docPr id="4" name="Picture 4" descr="Figure 4. HTTP 201 response identifies outbound delivery 9004953278." title="Evidence step 04"/>
            <wp:cNvGraphicFramePr>
              <a:graphicFrameLocks noChangeAspect="1"/>
            </wp:cNvGraphicFramePr>
            <a:graphic>
              <a:graphicData uri="http://schemas.openxmlformats.org/drawingml/2006/picture">
                <pic:pic>
                  <pic:nvPicPr>
                    <pic:cNvPr id="0" name="codex-clipboard-d6b5deae-4c51-4857-9184-b9fc74370643.png"/>
                    <pic:cNvPicPr/>
                  </pic:nvPicPr>
                  <pic:blipFill>
                    <a:blip r:embed="rId14"/>
                    <a:stretch>
                      <a:fillRect/>
                    </a:stretch>
                  </pic:blipFill>
                  <pic:spPr>
                    <a:xfrm>
                      <a:off x="0" y="0"/>
                      <a:ext cx="8366760" cy="4388405"/>
                    </a:xfrm>
                    <a:prstGeom prst="rect"/>
                  </pic:spPr>
                </pic:pic>
              </a:graphicData>
            </a:graphic>
          </wp:inline>
        </w:drawing>
      </w:r>
    </w:p>
    <w:p>
      <w:pPr>
        <w:pStyle w:val="Caption"/>
      </w:pPr>
      <w:r>
        <w:t>Figure 4. HTTP 201 response identifies outbound delivery 9004953278.</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standard SEGW OData deep-insert route performed the business write successfully. The response returned a numeric SAP delivery key; no BAPI or custom wrapper was involved.</w:t>
            </w:r>
          </w:p>
        </w:tc>
      </w:tr>
    </w:tbl>
    <w:p>
      <w:pPr>
        <w:pageBreakBefore/>
        <w:spacing w:before="40" w:after="40"/>
      </w:pPr>
      <w:r>
        <w:rPr>
          <w:rFonts w:ascii="Calibri" w:hAnsi="Calibri"/>
          <w:b/>
          <w:i w:val="0"/>
          <w:color w:val="2E74B5"/>
          <w:sz w:val="19"/>
        </w:rPr>
        <w:t>STEP 05</w:t>
      </w:r>
    </w:p>
    <w:p>
      <w:pPr>
        <w:spacing w:after="100"/>
      </w:pPr>
      <w:r>
        <w:rPr>
          <w:rFonts w:ascii="Calibri" w:hAnsi="Calibri"/>
          <w:b/>
          <w:i w:val="0"/>
          <w:color w:val="17365D"/>
          <w:sz w:val="34"/>
        </w:rPr>
        <w:t>Created delivery header is independently readable</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GET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9004953278</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A_OutbDeliveryHeader</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elapsed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1.31 s</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response size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1.67 KB</w:t>
            </w:r>
          </w:p>
        </w:tc>
      </w:tr>
    </w:tbl>
    <w:p>
      <w:pPr>
        <w:spacing w:before="100" w:after="0"/>
        <w:jc w:val="center"/>
      </w:pPr>
      <w:r>
        <w:drawing>
          <wp:inline xmlns:a="http://schemas.openxmlformats.org/drawingml/2006/main" xmlns:pic="http://schemas.openxmlformats.org/drawingml/2006/picture">
            <wp:extent cx="8366760" cy="4362231"/>
            <wp:docPr id="5" name="Picture 5" descr="Figure 5. Independent header readback returns delivery 9004953278 with HTTP 200." title="Evidence step 05"/>
            <wp:cNvGraphicFramePr>
              <a:graphicFrameLocks noChangeAspect="1"/>
            </wp:cNvGraphicFramePr>
            <a:graphic>
              <a:graphicData uri="http://schemas.openxmlformats.org/drawingml/2006/picture">
                <pic:pic>
                  <pic:nvPicPr>
                    <pic:cNvPr id="0" name="codex-clipboard-5e596527-cfb7-4bab-9daf-b2fc83fc393e.png"/>
                    <pic:cNvPicPr/>
                  </pic:nvPicPr>
                  <pic:blipFill>
                    <a:blip r:embed="rId15"/>
                    <a:stretch>
                      <a:fillRect/>
                    </a:stretch>
                  </pic:blipFill>
                  <pic:spPr>
                    <a:xfrm>
                      <a:off x="0" y="0"/>
                      <a:ext cx="8366760" cy="4362231"/>
                    </a:xfrm>
                    <a:prstGeom prst="rect"/>
                  </pic:spPr>
                </pic:pic>
              </a:graphicData>
            </a:graphic>
          </wp:inline>
        </w:drawing>
      </w:r>
    </w:p>
    <w:p>
      <w:pPr>
        <w:pStyle w:val="Caption"/>
      </w:pPr>
      <w:r>
        <w:t>Figure 5. Independent header readback returns delivery 9004953278 with HTTP 200.</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A separate GET resolved the exact key returned by the POST. This eliminates the risk of treating an allocated-but-uncommitted document number as proof of persistence.</w:t>
            </w:r>
          </w:p>
        </w:tc>
      </w:tr>
    </w:tbl>
    <w:p>
      <w:pPr>
        <w:pageBreakBefore/>
        <w:spacing w:after="40"/>
      </w:pPr>
      <w:r>
        <w:rPr>
          <w:rFonts w:ascii="Calibri" w:hAnsi="Calibri"/>
          <w:b/>
          <w:i w:val="0"/>
          <w:color w:val="2E74B5"/>
          <w:sz w:val="19"/>
        </w:rPr>
        <w:t>STEP 06</w:t>
      </w:r>
    </w:p>
    <w:p>
      <w:pPr>
        <w:spacing w:after="140"/>
      </w:pPr>
      <w:r>
        <w:rPr>
          <w:rFonts w:ascii="Calibri" w:hAnsi="Calibri"/>
          <w:b/>
          <w:i w:val="0"/>
          <w:color w:val="17365D"/>
          <w:sz w:val="34"/>
        </w:rPr>
        <w:t>Item-level readback confirms quantity and predecessor linkage</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result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 document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9004953278</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 item</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created by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QNOVATE8</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actual 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1.000 TO</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original 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1.000 TO</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material</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14000035</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plant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1002</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predecessor</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5600084222 / 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movement type /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641 / A</w:t>
            </w:r>
          </w:p>
        </w:tc>
      </w:tr>
    </w:tbl>
    <w:p>
      <w:pPr>
        <w:pStyle w:val="Heading2"/>
        <w:spacing w:before="280"/>
      </w:pPr>
      <w:r>
        <w:rPr>
          <w:rFonts w:ascii="Calibri" w:hAnsi="Calibri"/>
          <w:b/>
          <w:i w:val="0"/>
          <w:color w:val="2E74B5"/>
          <w:sz w:val="26"/>
        </w:rPr>
        <w:t>Captured OData response facts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900"/>
        <w:gridCol w:w="10068"/>
      </w:tblGrid>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DeliveryDocument</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9004953278</w:t>
            </w:r>
          </w:p>
        </w:tc>
      </w:tr>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DeliveryDocumentItem</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000010</w:t>
            </w:r>
          </w:p>
        </w:tc>
      </w:tr>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ActualDeliveryQuantity</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1.000</w:t>
            </w:r>
          </w:p>
        </w:tc>
      </w:tr>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DeliveryQuantityUnit</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TO</w:t>
            </w:r>
          </w:p>
        </w:tc>
      </w:tr>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ReferenceSDDocument</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5600084222</w:t>
            </w:r>
          </w:p>
        </w:tc>
      </w:tr>
      <w:tr>
        <w:tc>
          <w:tcPr>
            <w:tcW w:type="dxa" w:w="3900"/>
            <w:tcMar>
              <w:top w:w="80" w:type="dxa"/>
              <w:start w:w="120" w:type="dxa"/>
              <w:bottom w:w="80" w:type="dxa"/>
              <w:end w:w="120" w:type="dxa"/>
            </w:tcMar>
            <w:vAlign w:val="center"/>
            <w:shd w:fill="E8EEF5"/>
          </w:tcPr>
          <w:p>
            <w:pPr>
              <w:spacing w:after="0"/>
            </w:pPr>
            <w:r>
              <w:rPr>
                <w:rFonts w:ascii="Consolas" w:hAnsi="Consolas"/>
                <w:b/>
                <w:i w:val="0"/>
                <w:color w:val="1F4D78"/>
                <w:sz w:val="20"/>
              </w:rPr>
              <w:t>ReferenceSDDocumentItem</w:t>
            </w:r>
          </w:p>
        </w:tc>
        <w:tc>
          <w:tcPr>
            <w:tcW w:type="dxa" w:w="10068"/>
            <w:tcMar>
              <w:top w:w="80" w:type="dxa"/>
              <w:start w:w="120" w:type="dxa"/>
              <w:bottom w:w="80" w:type="dxa"/>
              <w:end w:w="120" w:type="dxa"/>
            </w:tcMar>
            <w:vAlign w:val="center"/>
            <w:shd w:fill="FFFFFF"/>
          </w:tcPr>
          <w:p>
            <w:pPr>
              <w:spacing w:after="0"/>
            </w:pPr>
            <w:r>
              <w:rPr>
                <w:rFonts w:ascii="Calibri" w:hAnsi="Calibri"/>
                <w:b w:val="0"/>
                <w:i w:val="0"/>
                <w:color w:val="1F2937"/>
                <w:sz w:val="20"/>
              </w:rPr>
              <w:t>000010</w:t>
            </w:r>
          </w:p>
        </w:tc>
      </w:tr>
    </w:tbl>
    <w:p>
      <w:pPr>
        <w:spacing w:before="260" w:after="80"/>
      </w:pPr>
      <w:r>
        <w:rPr>
          <w:rFonts w:ascii="Calibri" w:hAnsi="Calibri"/>
          <w:b/>
          <w:i w:val="0"/>
          <w:color w:val="2E74B5"/>
          <w:sz w:val="26"/>
        </w:rPr>
        <w:t>Final technical conclusion</w:t>
      </w:r>
    </w:p>
    <w:tbl>
      <w:tblPr>
        <w:tblW w:type="dxa" w:w="13968"/>
        <w:jc w:val="left"/>
        <w:tblLayout w:type="fixed"/>
        <w:tblLook w:firstColumn="1" w:firstRow="1" w:lastColumn="0" w:lastRow="0" w:noHBand="0" w:noVBand="1" w:val="04A0"/>
        <w:tblInd w:w="120" w:type="dxa"/>
        <w:tblBorders>
          <w:top w:val="single" w:sz="8" w:space="0" w:color="A7C7AD"/>
          <w:left w:val="single" w:sz="8" w:space="0" w:color="A7C7AD"/>
          <w:bottom w:val="single" w:sz="8" w:space="0" w:color="A7C7AD"/>
          <w:right w:val="single" w:sz="8" w:space="0" w:color="A7C7AD"/>
          <w:insideH w:val="single" w:sz="8" w:space="0" w:color="A7C7AD"/>
          <w:insideV w:val="single" w:sz="8" w:space="0" w:color="A7C7AD"/>
        </w:tblBorders>
      </w:tblPr>
      <w:tblGrid>
        <w:gridCol w:w="13968"/>
      </w:tblGrid>
      <w:tr>
        <w:tc>
          <w:tcPr>
            <w:tcW w:type="dxa" w:w="13968"/>
            <w:tcMar>
              <w:top w:w="80" w:type="dxa"/>
              <w:start w:w="120" w:type="dxa"/>
              <w:bottom w:w="80" w:type="dxa"/>
              <w:end w:w="120" w:type="dxa"/>
            </w:tcMar>
            <w:vAlign w:val="center"/>
            <w:shd w:fill="EAF4EA"/>
          </w:tcPr>
          <w:p>
            <w:pPr>
              <w:spacing w:after="0"/>
            </w:pPr>
            <w:r>
              <w:rPr>
                <w:rFonts w:ascii="Calibri" w:hAnsi="Calibri"/>
                <w:b/>
                <w:i w:val="0"/>
                <w:color w:val="2E6B3A"/>
                <w:sz w:val="23"/>
              </w:rPr>
              <w:t xml:space="preserve">The Create DI API is materially proven in QS4/700. </w:t>
            </w:r>
            <w:r>
              <w:rPr>
                <w:rFonts w:ascii="Calibri" w:hAnsi="Calibri"/>
                <w:b w:val="0"/>
                <w:i w:val="0"/>
                <w:color w:val="1F2937"/>
                <w:sz w:val="22"/>
              </w:rPr>
              <w:t>Connectivity, authentication, CSRF handling, deep insert, SAP document creation, header persistence, item persistence, quantity, unit and predecessor linkage were all observed. The result is sufficient to classify the standard OData route as ready for integration hardening and controlled downstream testing.</w:t>
            </w:r>
          </w:p>
        </w:tc>
      </w:tr>
    </w:tbl>
    <w:p>
      <w:pPr>
        <w:spacing w:before="180" w:after="0"/>
      </w:pPr>
      <w:r>
        <w:rPr>
          <w:rFonts w:ascii="Calibri" w:hAnsi="Calibri"/>
          <w:b/>
          <w:i w:val="0"/>
          <w:color w:val="2E74B5"/>
          <w:sz w:val="19"/>
        </w:rPr>
        <w:t xml:space="preserve">Flow continuation -&gt; </w:t>
      </w:r>
      <w:r>
        <w:rPr>
          <w:rFonts w:ascii="Calibri" w:hAnsi="Calibri"/>
          <w:b w:val="0"/>
          <w:i w:val="0"/>
          <w:color w:val="1F2937"/>
          <w:sz w:val="19"/>
        </w:rPr>
        <w:t>The created-delivery evidence is complete. The following section records the separate Submit MIGO write and material-document readback using the same Postman and SEGW OData test method.</w:t>
      </w:r>
    </w:p>
    <w:p>
      <w:pPr>
        <w:pStyle w:val="Heading1"/>
        <w:pageBreakBefore/>
      </w:pPr>
      <w:r>
        <w:rPr>
          <w:rFonts w:ascii="Calibri" w:hAnsi="Calibri"/>
          <w:b/>
          <w:i w:val="0"/>
          <w:color w:val="2E74B5"/>
          <w:sz w:val="32"/>
        </w:rPr>
        <w:t>Submit MIGO execution flow</w:t>
      </w:r>
    </w:p>
    <w:p>
      <w:r>
        <w:rPr>
          <w:rFonts w:ascii="Calibri" w:hAnsi="Calibri"/>
          <w:b w:val="0"/>
          <w:i w:val="0"/>
          <w:color w:val="1F2937"/>
          <w:sz w:val="22"/>
        </w:rPr>
        <w:t>Only the client-relevant document flow is retained below: readiness GET, controlled POST, and independent GET readback. Exploratory candidates, environment edits, duplicate screenshots and request-correction screens are intentionally excluded.</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3700"/>
        <w:gridCol w:w="2500"/>
        <w:gridCol w:w="6868"/>
      </w:tblGrid>
      <w:tr>
        <w:tc>
          <w:tcPr>
            <w:tcW w:type="dxa" w:w="900"/>
            <w:tcMar>
              <w:top w:w="80" w:type="dxa"/>
              <w:start w:w="120" w:type="dxa"/>
              <w:bottom w:w="80" w:type="dxa"/>
              <w:end w:w="120" w:type="dxa"/>
            </w:tcMar>
            <w:vAlign w:val="center"/>
            <w:shd w:fill="E8EEF5"/>
          </w:tcPr>
          <w:p>
            <w:pPr>
              <w:spacing w:after="0"/>
              <w:jc w:val="left"/>
            </w:pPr>
            <w:r>
              <w:rPr>
                <w:rFonts w:ascii="Calibri" w:hAnsi="Calibri"/>
                <w:b/>
                <w:i w:val="0"/>
                <w:color w:val="1F2937"/>
                <w:sz w:val="18"/>
              </w:rPr>
              <w:t>Step</w:t>
            </w:r>
          </w:p>
        </w:tc>
        <w:tc>
          <w:tcPr>
            <w:tcW w:type="dxa" w:w="3700"/>
            <w:tcMar>
              <w:top w:w="80" w:type="dxa"/>
              <w:start w:w="120" w:type="dxa"/>
              <w:bottom w:w="80" w:type="dxa"/>
              <w:end w:w="120" w:type="dxa"/>
            </w:tcMar>
            <w:vAlign w:val="center"/>
            <w:shd w:fill="E8EEF5"/>
          </w:tcPr>
          <w:p>
            <w:pPr>
              <w:spacing w:after="0"/>
              <w:jc w:val="left"/>
            </w:pPr>
            <w:r>
              <w:rPr>
                <w:rFonts w:ascii="Calibri" w:hAnsi="Calibri"/>
                <w:b/>
                <w:i w:val="0"/>
                <w:color w:val="1F2937"/>
                <w:sz w:val="18"/>
              </w:rPr>
              <w:t>Action</w:t>
            </w:r>
          </w:p>
        </w:tc>
        <w:tc>
          <w:tcPr>
            <w:tcW w:type="dxa" w:w="2500"/>
            <w:tcMar>
              <w:top w:w="80" w:type="dxa"/>
              <w:start w:w="120" w:type="dxa"/>
              <w:bottom w:w="80" w:type="dxa"/>
              <w:end w:w="120" w:type="dxa"/>
            </w:tcMar>
            <w:vAlign w:val="center"/>
            <w:shd w:fill="E8EEF5"/>
          </w:tcPr>
          <w:p>
            <w:pPr>
              <w:spacing w:after="0"/>
              <w:jc w:val="left"/>
            </w:pPr>
            <w:r>
              <w:rPr>
                <w:rFonts w:ascii="Calibri" w:hAnsi="Calibri"/>
                <w:b/>
                <w:i w:val="0"/>
                <w:color w:val="1F2937"/>
                <w:sz w:val="18"/>
              </w:rPr>
              <w:t>Observed result</w:t>
            </w:r>
          </w:p>
        </w:tc>
        <w:tc>
          <w:tcPr>
            <w:tcW w:type="dxa" w:w="6868"/>
            <w:tcMar>
              <w:top w:w="80" w:type="dxa"/>
              <w:start w:w="120" w:type="dxa"/>
              <w:bottom w:w="80" w:type="dxa"/>
              <w:end w:w="120" w:type="dxa"/>
            </w:tcMar>
            <w:vAlign w:val="center"/>
            <w:shd w:fill="E8EEF5"/>
          </w:tcPr>
          <w:p>
            <w:pPr>
              <w:spacing w:after="0"/>
              <w:jc w:val="left"/>
            </w:pPr>
            <w:r>
              <w:rPr>
                <w:rFonts w:ascii="Calibri" w:hAnsi="Calibri"/>
                <w:b/>
                <w:i w:val="0"/>
                <w:color w:val="1F2937"/>
                <w:sz w:val="18"/>
              </w:rPr>
              <w:t>What the result establishes</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07</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GET eligible delivery and pre-write controls</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 status C; 52.330 TO</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selected delivery was fully goods-issued, matched the STO, and had no active 52.330 TO movement-101 receipt before posting.</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08</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POST Submit MIGO</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201; document 5007138638 / 2026</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standard material-document OData route created a real goods-receipt document.</w:t>
            </w:r>
          </w:p>
        </w:tc>
      </w:tr>
      <w:tr>
        <w:tc>
          <w:tcPr>
            <w:tcW w:type="dxa" w:w="900"/>
            <w:tcMar>
              <w:top w:w="80" w:type="dxa"/>
              <w:start w:w="120" w:type="dxa"/>
              <w:bottom w:w="80" w:type="dxa"/>
              <w:end w:w="120" w:type="dxa"/>
            </w:tcMar>
            <w:vAlign w:val="center"/>
            <w:shd w:fill="FFFFFF"/>
          </w:tcPr>
          <w:p>
            <w:pPr>
              <w:spacing w:after="0"/>
              <w:jc w:val="center"/>
            </w:pPr>
            <w:r>
              <w:rPr>
                <w:rFonts w:ascii="Calibri" w:hAnsi="Calibri"/>
                <w:b/>
                <w:i w:val="0"/>
                <w:color w:val="1F2937"/>
                <w:sz w:val="18"/>
              </w:rPr>
              <w:t>09</w:t>
            </w:r>
          </w:p>
        </w:tc>
        <w:tc>
          <w:tcPr>
            <w:tcW w:type="dxa" w:w="3700"/>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GET created material document + items</w:t>
            </w:r>
          </w:p>
        </w:tc>
        <w:tc>
          <w:tcPr>
            <w:tcW w:type="dxa" w:w="2500"/>
            <w:tcMar>
              <w:top w:w="80" w:type="dxa"/>
              <w:start w:w="120" w:type="dxa"/>
              <w:bottom w:w="80" w:type="dxa"/>
              <w:end w:w="120" w:type="dxa"/>
            </w:tcMar>
            <w:vAlign w:val="center"/>
            <w:shd w:fill="FFFFFF"/>
          </w:tcPr>
          <w:p>
            <w:pPr>
              <w:spacing w:after="0"/>
              <w:jc w:val="center"/>
            </w:pPr>
            <w:r>
              <w:rPr>
                <w:rFonts w:ascii="Calibri" w:hAnsi="Calibri"/>
                <w:b w:val="0"/>
                <w:i w:val="0"/>
                <w:color w:val="1F2937"/>
                <w:sz w:val="18"/>
              </w:rPr>
              <w:t>HTTP 200; tests 6/6</w:t>
            </w:r>
          </w:p>
        </w:tc>
        <w:tc>
          <w:tcPr>
            <w:tcW w:type="dxa" w:w="6868"/>
            <w:tcMar>
              <w:top w:w="80" w:type="dxa"/>
              <w:start w:w="120" w:type="dxa"/>
              <w:bottom w:w="80" w:type="dxa"/>
              <w:end w:w="120" w:type="dxa"/>
            </w:tcMar>
            <w:vAlign w:val="center"/>
            <w:shd w:fill="FFFFFF"/>
          </w:tcPr>
          <w:p>
            <w:pPr>
              <w:spacing w:after="0"/>
              <w:jc w:val="left"/>
            </w:pPr>
            <w:r>
              <w:rPr>
                <w:rFonts w:ascii="Calibri" w:hAnsi="Calibri"/>
                <w:b w:val="0"/>
                <w:i w:val="0"/>
                <w:color w:val="1F2937"/>
                <w:sz w:val="18"/>
              </w:rPr>
              <w:t>The material-document header and movement-101 item persisted with reference type B, receiving plant and delivery linkage.</w:t>
            </w:r>
          </w:p>
        </w:tc>
      </w:tr>
    </w:tbl>
    <w:p>
      <w:pPr>
        <w:pStyle w:val="Heading2"/>
        <w:spacing w:before="240"/>
      </w:pPr>
      <w:r>
        <w:rPr>
          <w:rFonts w:ascii="Calibri" w:hAnsi="Calibri"/>
          <w:b/>
          <w:i w:val="0"/>
          <w:color w:val="2E74B5"/>
          <w:sz w:val="26"/>
        </w:rPr>
        <w:t>Posting identity</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service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API_MATERIAL_DOCUMENT_SRV</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entity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A_MaterialDocumentHeader</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business operation</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Goods receipt against STO delivery</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movement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101 / reference type B</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STO</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5600084246 / 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9004953161 / 000010</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material</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12000009</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quantity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52.330 TO</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receiving location</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Plant 1025 / RMYD</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created document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5007138638 / 2026</w:t>
            </w:r>
          </w:p>
        </w:tc>
      </w:tr>
    </w:tbl>
    <w:p>
      <w:pPr>
        <w:pStyle w:val="Heading2"/>
        <w:spacing w:before="240"/>
      </w:pPr>
      <w:r>
        <w:rPr>
          <w:rFonts w:ascii="Calibri" w:hAnsi="Calibri"/>
          <w:b/>
          <w:i w:val="0"/>
          <w:color w:val="2E74B5"/>
          <w:sz w:val="26"/>
        </w:rPr>
        <w:t>Pre-write duplicate control</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Existing active 101 quantity -&gt; </w:t>
            </w:r>
            <w:r>
              <w:rPr>
                <w:rFonts w:ascii="Calibri" w:hAnsi="Calibri"/>
                <w:b w:val="0"/>
                <w:i w:val="0"/>
                <w:color w:val="1F2937"/>
                <w:sz w:val="19"/>
              </w:rPr>
              <w:t xml:space="preserve">50.750 TO (49.890 + 0.860) under material document 5007138566, corresponding to the other delivery. </w:t>
            </w:r>
            <w:r>
              <w:rPr>
                <w:rFonts w:ascii="Calibri" w:hAnsi="Calibri"/>
                <w:b/>
                <w:i w:val="0"/>
                <w:color w:val="2E6B3A"/>
                <w:sz w:val="19"/>
              </w:rPr>
              <w:t>Active 52.330 TO receipt -&gt; none found before POST.</w:t>
            </w:r>
          </w:p>
        </w:tc>
      </w:tr>
    </w:tbl>
    <w:p>
      <w:pPr>
        <w:pageBreakBefore/>
        <w:spacing w:before="40" w:after="40"/>
      </w:pPr>
      <w:r>
        <w:rPr>
          <w:rFonts w:ascii="Calibri" w:hAnsi="Calibri"/>
          <w:b/>
          <w:i w:val="0"/>
          <w:color w:val="2E74B5"/>
          <w:sz w:val="19"/>
        </w:rPr>
        <w:t>STEP 07</w:t>
      </w:r>
    </w:p>
    <w:p>
      <w:pPr>
        <w:spacing w:after="100"/>
      </w:pPr>
      <w:r>
        <w:rPr>
          <w:rFonts w:ascii="Calibri" w:hAnsi="Calibri"/>
          <w:b/>
          <w:i w:val="0"/>
          <w:color w:val="17365D"/>
          <w:sz w:val="34"/>
        </w:rPr>
        <w:t>Readiness GET confirms a fully goods-issued delivery</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GET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9004953161 / 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goods movement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C</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quantity / material</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52.330 TO / 12000009</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receiving location</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1025 / RMYD</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STO</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5600084246 / 000010</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duplicate 52.330 receipt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none found</w:t>
            </w:r>
          </w:p>
        </w:tc>
      </w:tr>
    </w:tbl>
    <w:p>
      <w:pPr>
        <w:spacing w:before="100" w:after="0"/>
        <w:jc w:val="center"/>
      </w:pPr>
      <w:r>
        <w:drawing>
          <wp:inline xmlns:a="http://schemas.openxmlformats.org/drawingml/2006/main" xmlns:pic="http://schemas.openxmlformats.org/drawingml/2006/picture">
            <wp:extent cx="7315200" cy="3833409"/>
            <wp:docPr id="6" name="Picture 6" descr="Figure 6. The selected STO delivery resolves with HTTP 200 before the goods-receipt write." title="Evidence step 07"/>
            <wp:cNvGraphicFramePr>
              <a:graphicFrameLocks noChangeAspect="1"/>
            </wp:cNvGraphicFramePr>
            <a:graphic>
              <a:graphicData uri="http://schemas.openxmlformats.org/drawingml/2006/picture">
                <pic:pic>
                  <pic:nvPicPr>
                    <pic:cNvPr id="0" name="codex-clipboard-81b0f570-42df-4c01-8acc-4f888a5985be.png"/>
                    <pic:cNvPicPr/>
                  </pic:nvPicPr>
                  <pic:blipFill>
                    <a:blip r:embed="rId16"/>
                    <a:stretch>
                      <a:fillRect/>
                    </a:stretch>
                  </pic:blipFill>
                  <pic:spPr>
                    <a:xfrm>
                      <a:off x="0" y="0"/>
                      <a:ext cx="7315200" cy="3833409"/>
                    </a:xfrm>
                    <a:prstGeom prst="rect"/>
                  </pic:spPr>
                </pic:pic>
              </a:graphicData>
            </a:graphic>
          </wp:inline>
        </w:drawing>
      </w:r>
    </w:p>
    <w:p>
      <w:pPr>
        <w:pStyle w:val="Caption"/>
      </w:pPr>
      <w:r>
        <w:t>Figure 6. The selected STO delivery resolves with HTTP 200 before the goods-receipt write.</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delivery read returned the exact STO-linked item with GoodsMovementStatus C, proving the 641 goods issue was complete. A separate read-only material-document scan found only the other delivery's 50.750 TO receipt and no active 52.330 TO receipt before the controlled POST.</w:t>
            </w:r>
          </w:p>
        </w:tc>
      </w:tr>
    </w:tbl>
    <w:p>
      <w:pPr>
        <w:pageBreakBefore/>
        <w:spacing w:before="40" w:after="40"/>
      </w:pPr>
      <w:r>
        <w:rPr>
          <w:rFonts w:ascii="Calibri" w:hAnsi="Calibri"/>
          <w:b/>
          <w:i w:val="0"/>
          <w:color w:val="2E74B5"/>
          <w:sz w:val="19"/>
        </w:rPr>
        <w:t>STEP 08</w:t>
      </w:r>
    </w:p>
    <w:p>
      <w:pPr>
        <w:spacing w:after="100"/>
      </w:pPr>
      <w:r>
        <w:rPr>
          <w:rFonts w:ascii="Calibri" w:hAnsi="Calibri"/>
          <w:b/>
          <w:i w:val="0"/>
          <w:color w:val="17365D"/>
          <w:sz w:val="34"/>
        </w:rPr>
        <w:t>Submit MIGO creates a real material document</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POST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201 Created</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tests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 / 5 passed</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service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API_MATERIAL_DOCUMENT_SRV</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movement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101 / reference type B</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transaction type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WE</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material document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5007138638 / 2026</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created by</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QNOVATE8</w:t>
            </w:r>
          </w:p>
        </w:tc>
      </w:tr>
    </w:tbl>
    <w:p>
      <w:pPr>
        <w:spacing w:before="100" w:after="0"/>
        <w:jc w:val="center"/>
      </w:pPr>
      <w:r>
        <w:drawing>
          <wp:inline xmlns:a="http://schemas.openxmlformats.org/drawingml/2006/main" xmlns:pic="http://schemas.openxmlformats.org/drawingml/2006/picture">
            <wp:extent cx="7315200" cy="3867369"/>
            <wp:docPr id="7" name="Picture 7" descr="Figure 7. HTTP 201 identifies material document 5007138638 / 2026 and five passing creation assertions." title="Evidence step 08"/>
            <wp:cNvGraphicFramePr>
              <a:graphicFrameLocks noChangeAspect="1"/>
            </wp:cNvGraphicFramePr>
            <a:graphic>
              <a:graphicData uri="http://schemas.openxmlformats.org/drawingml/2006/picture">
                <pic:pic>
                  <pic:nvPicPr>
                    <pic:cNvPr id="0" name="codex-clipboard-0cacd7fa-d9f0-4d0a-8c75-9522b4086d14.png"/>
                    <pic:cNvPicPr/>
                  </pic:nvPicPr>
                  <pic:blipFill>
                    <a:blip r:embed="rId17"/>
                    <a:stretch>
                      <a:fillRect/>
                    </a:stretch>
                  </pic:blipFill>
                  <pic:spPr>
                    <a:xfrm>
                      <a:off x="0" y="0"/>
                      <a:ext cx="7315200" cy="3867369"/>
                    </a:xfrm>
                    <a:prstGeom prst="rect"/>
                  </pic:spPr>
                </pic:pic>
              </a:graphicData>
            </a:graphic>
          </wp:inline>
        </w:drawing>
      </w:r>
    </w:p>
    <w:p>
      <w:pPr>
        <w:pStyle w:val="Caption"/>
      </w:pPr>
      <w:r>
        <w:t>Figure 7. HTTP 201 identifies material document 5007138638 / 2026 and five passing creation assertions.</w:t>
      </w:r>
    </w:p>
    <w:tbl>
      <w:tblPr>
        <w:tblW w:type="dxa" w:w="13968"/>
        <w:jc w:val="left"/>
        <w:tblLayout w:type="fixed"/>
        <w:tblLook w:firstColumn="1" w:firstRow="1" w:lastColumn="0" w:lastRow="0" w:noHBand="0" w:noVBand="1" w:val="04A0"/>
        <w:tblInd w:w="120" w:type="dxa"/>
        <w:tblBorders>
          <w:top w:val="single" w:sz="6" w:space="0" w:color="B9C5D2"/>
          <w:left w:val="single" w:sz="6" w:space="0" w:color="B9C5D2"/>
          <w:bottom w:val="single" w:sz="6" w:space="0" w:color="B9C5D2"/>
          <w:right w:val="single" w:sz="6" w:space="0" w:color="B9C5D2"/>
          <w:insideH w:val="single" w:sz="6" w:space="0" w:color="B9C5D2"/>
          <w:insideV w:val="single" w:sz="6" w:space="0" w:color="B9C5D2"/>
        </w:tblBorders>
      </w:tblPr>
      <w:tblGrid>
        <w:gridCol w:w="13968"/>
      </w:tblGrid>
      <w:tr>
        <w:tc>
          <w:tcPr>
            <w:tcW w:type="dxa" w:w="13968"/>
            <w:tcMar>
              <w:top w:w="80" w:type="dxa"/>
              <w:start w:w="120" w:type="dxa"/>
              <w:bottom w:w="80" w:type="dxa"/>
              <w:end w:w="120" w:type="dxa"/>
            </w:tcMar>
            <w:vAlign w:val="center"/>
            <w:shd w:fill="F2F4F7"/>
          </w:tcPr>
          <w:p>
            <w:pPr>
              <w:spacing w:after="0"/>
            </w:pPr>
            <w:r>
              <w:rPr>
                <w:rFonts w:ascii="Calibri" w:hAnsi="Calibri"/>
                <w:b/>
                <w:i w:val="0"/>
                <w:color w:val="1F4D78"/>
                <w:sz w:val="19"/>
              </w:rPr>
              <w:t xml:space="preserve">Meaning for API state -&gt; </w:t>
            </w:r>
            <w:r>
              <w:rPr>
                <w:rFonts w:ascii="Calibri" w:hAnsi="Calibri"/>
                <w:b w:val="0"/>
                <w:i w:val="0"/>
                <w:color w:val="1F2937"/>
                <w:sz w:val="19"/>
              </w:rPr>
              <w:t>The standard material-document SEGW OData route accepted the delivery-linked goods-receipt payload and returned a committed SAP material-document key. The collection reset the one-shot posting confirmation after the response.</w:t>
            </w:r>
          </w:p>
        </w:tc>
      </w:tr>
    </w:tbl>
    <w:p>
      <w:pPr>
        <w:pageBreakBefore/>
        <w:spacing w:before="40" w:after="40"/>
      </w:pPr>
      <w:r>
        <w:rPr>
          <w:rFonts w:ascii="Calibri" w:hAnsi="Calibri"/>
          <w:b/>
          <w:i w:val="0"/>
          <w:color w:val="2E74B5"/>
          <w:sz w:val="19"/>
        </w:rPr>
        <w:t>STEP 09</w:t>
      </w:r>
    </w:p>
    <w:p>
      <w:pPr>
        <w:spacing w:after="100"/>
      </w:pPr>
      <w:r>
        <w:rPr>
          <w:rFonts w:ascii="Calibri" w:hAnsi="Calibri"/>
          <w:b/>
          <w:i w:val="0"/>
          <w:color w:val="17365D"/>
          <w:sz w:val="34"/>
        </w:rPr>
        <w:t>Material-document GET proves persisted goods receipt</w:t>
      </w:r>
      <w:r>
        <w:rPr>
          <w:rFonts w:ascii="Calibri" w:hAnsi="Calibri"/>
          <w:b/>
          <w:i w:val="0"/>
          <w:color w:val="2E6B3A"/>
          <w:sz w:val="19"/>
        </w:rPr>
        <w:t xml:space="preserve">   PASS</w:t>
      </w:r>
    </w:p>
    <w:tbl>
      <w:tblPr>
        <w:tblW w:type="dxa" w:w="13968"/>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5084"/>
        <w:gridCol w:w="1900"/>
        <w:gridCol w:w="5084"/>
      </w:tblGrid>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method</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GET</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HTTP status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200 OK</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tests</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6 / 6 passed</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material document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5007138638 / 2026</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movement type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101</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reference type</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B</w:t>
            </w:r>
          </w:p>
        </w:tc>
      </w:tr>
      <w:tr>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receiving plant</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1025</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5F6B7A"/>
                <w:sz w:val="18"/>
              </w:rPr>
              <w:t>delivery link</w:t>
            </w:r>
          </w:p>
        </w:tc>
        <w:tc>
          <w:tcPr>
            <w:tcW w:type="dxa" w:w="5084"/>
            <w:tcMar>
              <w:top w:w="80" w:type="dxa"/>
              <w:start w:w="120" w:type="dxa"/>
              <w:bottom w:w="80" w:type="dxa"/>
              <w:end w:w="120" w:type="dxa"/>
            </w:tcMar>
            <w:vAlign w:val="center"/>
            <w:shd w:fill="FFFFFF"/>
          </w:tcPr>
          <w:p>
            <w:pPr>
              <w:spacing w:after="0"/>
            </w:pPr>
            <w:r>
              <w:rPr>
                <w:rFonts w:ascii="Calibri" w:hAnsi="Calibri"/>
                <w:b w:val="0"/>
                <w:i w:val="0"/>
                <w:color w:val="1F2937"/>
                <w:sz w:val="19"/>
              </w:rPr>
              <w:t>9004953161 / 000010</w:t>
            </w:r>
          </w:p>
        </w:tc>
      </w:tr>
    </w:tbl>
    <w:p>
      <w:pPr>
        <w:spacing w:before="100" w:after="0"/>
        <w:jc w:val="center"/>
      </w:pPr>
      <w:r>
        <w:drawing>
          <wp:inline xmlns:a="http://schemas.openxmlformats.org/drawingml/2006/main" xmlns:pic="http://schemas.openxmlformats.org/drawingml/2006/picture">
            <wp:extent cx="7315200" cy="3827410"/>
            <wp:docPr id="8" name="Picture 8" descr="Postman GET readback for material document 5007138638 returns HTTP 200 and six passing assertions." title="Evidence step 09"/>
            <wp:cNvGraphicFramePr>
              <a:graphicFrameLocks noChangeAspect="1"/>
            </wp:cNvGraphicFramePr>
            <a:graphic>
              <a:graphicData uri="http://schemas.openxmlformats.org/drawingml/2006/picture">
                <pic:pic>
                  <pic:nvPicPr>
                    <pic:cNvPr id="0" name="codex-clipboard-2aec7c99-b3f3-4548-a948-83955c0814cb.png"/>
                    <pic:cNvPicPr/>
                  </pic:nvPicPr>
                  <pic:blipFill>
                    <a:blip r:embed="rId18"/>
                    <a:stretch>
                      <a:fillRect/>
                    </a:stretch>
                  </pic:blipFill>
                  <pic:spPr>
                    <a:xfrm>
                      <a:off x="0" y="0"/>
                      <a:ext cx="7315200" cy="3827410"/>
                    </a:xfrm>
                    <a:prstGeom prst="rect"/>
                  </pic:spPr>
                </pic:pic>
              </a:graphicData>
            </a:graphic>
          </wp:inline>
        </w:drawing>
      </w:r>
    </w:p>
    <w:p>
      <w:pPr>
        <w:pStyle w:val="Caption"/>
      </w:pPr>
      <w:r>
        <w:t>Figure 8. Independent expanded GET returns material document 5007138638 with HTTP 200 and six passing persistence assertions.</w:t>
      </w:r>
    </w:p>
    <w:tbl>
      <w:tblPr>
        <w:tblW w:type="dxa" w:w="13968"/>
        <w:jc w:val="left"/>
        <w:tblLayout w:type="fixed"/>
        <w:tblLook w:firstColumn="1" w:firstRow="1" w:lastColumn="0" w:lastRow="0" w:noHBand="0" w:noVBand="1" w:val="04A0"/>
        <w:tblInd w:w="120" w:type="dxa"/>
        <w:tblBorders>
          <w:top w:val="single" w:sz="8" w:space="0" w:color="A7C7AD"/>
          <w:left w:val="single" w:sz="8" w:space="0" w:color="A7C7AD"/>
          <w:bottom w:val="single" w:sz="8" w:space="0" w:color="A7C7AD"/>
          <w:right w:val="single" w:sz="8" w:space="0" w:color="A7C7AD"/>
          <w:insideH w:val="single" w:sz="8" w:space="0" w:color="A7C7AD"/>
          <w:insideV w:val="single" w:sz="8" w:space="0" w:color="A7C7AD"/>
        </w:tblBorders>
      </w:tblPr>
      <w:tblGrid>
        <w:gridCol w:w="13968"/>
      </w:tblGrid>
      <w:tr>
        <w:tc>
          <w:tcPr>
            <w:tcW w:type="dxa" w:w="13968"/>
            <w:tcMar>
              <w:top w:w="80" w:type="dxa"/>
              <w:start w:w="120" w:type="dxa"/>
              <w:bottom w:w="80" w:type="dxa"/>
              <w:end w:w="120" w:type="dxa"/>
            </w:tcMar>
            <w:vAlign w:val="center"/>
            <w:shd w:fill="EAF4EA"/>
          </w:tcPr>
          <w:p>
            <w:pPr>
              <w:spacing w:after="0"/>
            </w:pPr>
            <w:r>
              <w:rPr>
                <w:rFonts w:ascii="Calibri" w:hAnsi="Calibri"/>
                <w:b/>
                <w:i w:val="0"/>
                <w:color w:val="2E6B3A"/>
                <w:sz w:val="23"/>
              </w:rPr>
              <w:t xml:space="preserve">BOTH STANDARD ODATA OPERATIONS ARE PROVEN. </w:t>
            </w:r>
            <w:r>
              <w:rPr>
                <w:rFonts w:ascii="Calibri" w:hAnsi="Calibri"/>
                <w:b w:val="0"/>
                <w:i w:val="0"/>
                <w:color w:val="1F2937"/>
                <w:sz w:val="21"/>
              </w:rPr>
              <w:t>Create DI produced and persisted outbound delivery 9004953278. Submit MIGO produced and persisted material document 5007138638 / 2026 for delivery 9004953161. The evidence covers pre-write reads, HTTP 201 business writes and independent post-write OData readbacks without calling a BAPI.</w:t>
            </w:r>
          </w:p>
        </w:tc>
      </w:tr>
    </w:tbl>
    <w:sectPr w:rsidR="00FC693F" w:rsidRPr="0006063C" w:rsidSect="00034616">
      <w:headerReference w:type="default" r:id="rId9"/>
      <w:footerReference w:type="default" r:id="rId10"/>
      <w:pgSz w:w="15840" w:h="12240" w:orient="landscape"/>
      <w:pgMar w:top="792"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F6B7A"/>
        <w:sz w:val="16"/>
      </w:rPr>
      <w:t xml:space="preserve">Client evidence pack | 26 August 2026                                      Page </w:t>
    </w:r>
    <w:r>
      <w:rPr>
        <w:rFonts w:ascii="Calibri" w:hAnsi="Calibri"/>
        <w:b w:val="0"/>
        <w:i w:val="0"/>
        <w:color w:val="5F6B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3968"/>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984"/>
      <w:gridCol w:w="6984"/>
    </w:tblGrid>
    <w:tr>
      <w:tc>
        <w:tcPr>
          <w:tcW w:type="dxa" w:w="6984"/>
          <w:tcMar>
            <w:top w:w="80" w:type="dxa"/>
            <w:start w:w="120" w:type="dxa"/>
            <w:bottom w:w="80" w:type="dxa"/>
            <w:end w:w="120" w:type="dxa"/>
          </w:tcMar>
          <w:vAlign w:val="center"/>
        </w:tcPr>
        <w:p>
          <w:pPr>
            <w:spacing w:after="0"/>
          </w:pPr>
          <w:r>
            <w:rPr>
              <w:rFonts w:ascii="Calibri" w:hAnsi="Calibri"/>
              <w:b/>
              <w:i w:val="0"/>
              <w:color w:val="5F6B7A"/>
              <w:sz w:val="17"/>
            </w:rPr>
            <w:t>SHREE CEMENT | CNF AGENT INTEGRATION</w:t>
          </w:r>
        </w:p>
      </w:tc>
      <w:tc>
        <w:tcPr>
          <w:tcW w:type="dxa" w:w="6984"/>
          <w:tcMar>
            <w:top w:w="80" w:type="dxa"/>
            <w:start w:w="120" w:type="dxa"/>
            <w:bottom w:w="80" w:type="dxa"/>
            <w:end w:w="120" w:type="dxa"/>
          </w:tcMar>
          <w:vAlign w:val="center"/>
        </w:tcPr>
        <w:p>
          <w:pPr>
            <w:spacing w:after="0"/>
            <w:jc w:val="right"/>
          </w:pPr>
          <w:r>
            <w:rPr>
              <w:rFonts w:ascii="Calibri" w:hAnsi="Calibri"/>
              <w:b/>
              <w:i w:val="0"/>
              <w:color w:val="5F6B7A"/>
              <w:sz w:val="17"/>
            </w:rPr>
            <w:t>QS4 RUNTIME EVIDENCE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80"/>
      <w:jc w:val="center"/>
    </w:pPr>
    <w:rPr>
      <w:rFonts w:ascii="Calibri" w:hAnsi="Calibri"/>
      <w:b/>
      <w:bCs/>
      <w:i/>
      <w:color w:val="5F6B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QS4 Create DI and Submit MIGO Postman Runtime Evidence</dc:title>
  <dc:subject>Client-facing execution evidence for standard delivery and material-document OData services</dc:subject>
  <dc:creator>Shree Cement CNF Integration Team</dc:creator>
  <cp:keywords>QS4, OData, Postman, Create DI, Submit MIGO, outbound delivery, material document, runtime evidence</cp:keywords>
  <dc:description>Prepared from execution screenshots captured on 26 August 2026.</dc:description>
  <cp:lastModifiedBy/>
  <cp:revision>1</cp:revision>
  <dcterms:created xsi:type="dcterms:W3CDTF">2013-12-23T23:15:00Z</dcterms:created>
  <dcterms:modified xsi:type="dcterms:W3CDTF">2013-12-23T23:15:00Z</dcterms:modified>
  <cp:category/>
</cp:coreProperties>
</file>