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Shree Cement C&amp;F Agent Interface</w:t>
      </w:r>
    </w:p>
    <w:p>
      <w:pPr>
        <w:pStyle w:val="Subtitle"/>
      </w:pPr>
      <w:r>
        <w:t>SAP API Documentation and Pre-Development Proposal</w:t>
      </w:r>
    </w:p>
    <w:p>
      <w:pPr>
        <w:spacing w:after="320"/>
        <w:pBdr>
          <w:bottom w:val="single" w:sz="16" w:space="2" w:color="2E74B5"/>
        </w:pBdr>
      </w:pPr>
    </w:p>
    <w:p>
      <w:pPr>
        <w:spacing w:after="60"/>
      </w:pPr>
      <w:r>
        <w:rPr>
          <w:rFonts w:ascii="Calibri" w:hAnsi="Calibri"/>
          <w:b/>
          <w:color w:val="1F2937"/>
          <w:sz w:val="21"/>
        </w:rPr>
        <w:t xml:space="preserve">Document ID: </w:t>
      </w:r>
      <w:r>
        <w:rPr>
          <w:rFonts w:ascii="Calibri" w:hAnsi="Calibri"/>
          <w:color w:val="1F2937"/>
          <w:sz w:val="21"/>
        </w:rPr>
        <w:t>CNF-SAP-API-DOC-002</w:t>
      </w:r>
    </w:p>
    <w:p>
      <w:pPr>
        <w:spacing w:after="60"/>
      </w:pPr>
      <w:r>
        <w:rPr>
          <w:rFonts w:ascii="Calibri" w:hAnsi="Calibri"/>
          <w:b/>
          <w:color w:val="1F2937"/>
          <w:sz w:val="21"/>
        </w:rPr>
        <w:t xml:space="preserve">Version: </w:t>
      </w:r>
      <w:r>
        <w:rPr>
          <w:rFonts w:ascii="Calibri" w:hAnsi="Calibri"/>
          <w:color w:val="1F2937"/>
          <w:sz w:val="21"/>
        </w:rPr>
        <w:t>2.0</w:t>
      </w:r>
    </w:p>
    <w:p>
      <w:pPr>
        <w:spacing w:after="60"/>
      </w:pPr>
      <w:r>
        <w:rPr>
          <w:rFonts w:ascii="Calibri" w:hAnsi="Calibri"/>
          <w:b/>
          <w:color w:val="1F2937"/>
          <w:sz w:val="21"/>
        </w:rPr>
        <w:t xml:space="preserve">Date: </w:t>
      </w:r>
      <w:r>
        <w:rPr>
          <w:rFonts w:ascii="Calibri" w:hAnsi="Calibri"/>
          <w:color w:val="1F2937"/>
          <w:sz w:val="21"/>
        </w:rPr>
        <w:t>30 July 2026</w:t>
      </w:r>
    </w:p>
    <w:p>
      <w:pPr>
        <w:spacing w:after="60"/>
      </w:pPr>
      <w:r>
        <w:rPr>
          <w:rFonts w:ascii="Calibri" w:hAnsi="Calibri"/>
          <w:b/>
          <w:color w:val="1F2937"/>
          <w:sz w:val="21"/>
        </w:rPr>
        <w:t xml:space="preserve">Audience: </w:t>
      </w:r>
      <w:r>
        <w:rPr>
          <w:rFonts w:ascii="Calibri" w:hAnsi="Calibri"/>
          <w:color w:val="1F2937"/>
          <w:sz w:val="21"/>
        </w:rPr>
        <w:t>SAP, Integration, Commerce, Datasphere, Basis, Security, Tax and functional teams</w:t>
      </w:r>
    </w:p>
    <w:p>
      <w:pPr>
        <w:spacing w:after="60"/>
      </w:pPr>
      <w:r>
        <w:rPr>
          <w:rFonts w:ascii="Calibri" w:hAnsi="Calibri"/>
          <w:b/>
          <w:color w:val="1F2937"/>
          <w:sz w:val="21"/>
        </w:rPr>
        <w:t xml:space="preserve">Owner: </w:t>
      </w:r>
      <w:r>
        <w:rPr>
          <w:rFonts w:ascii="Calibri" w:hAnsi="Calibri"/>
          <w:color w:val="1F2937"/>
          <w:sz w:val="21"/>
        </w:rPr>
        <w:t>SAP backend integration workstream</w:t>
      </w:r>
    </w:p>
    <w:p>
      <w:pPr>
        <w:spacing w:after="60"/>
      </w:pPr>
      <w:r>
        <w:rPr>
          <w:rFonts w:ascii="Calibri" w:hAnsi="Calibri"/>
          <w:b/>
          <w:color w:val="1F2937"/>
          <w:sz w:val="21"/>
        </w:rPr>
        <w:t xml:space="preserve">Status: </w:t>
      </w:r>
      <w:r>
        <w:rPr>
          <w:rFonts w:ascii="Calibri" w:hAnsi="Calibri"/>
          <w:color w:val="1F2937"/>
          <w:sz w:val="21"/>
        </w:rPr>
        <w:t>PRE-DEV WORKING DOCUMENT - NOT AN APPROVED BUILD SPECIFICATION</w:t>
      </w:r>
    </w:p>
    <w:p>
      <w:pPr>
        <w:spacing w:after="160"/>
      </w:pPr>
    </w:p>
    <w:tbl>
      <w:tblPr>
        <w:tblStyle w:val="TableGrid"/>
        <w:tblW w:type="dxa" w:w="9360"/>
        <w:jc w:val="left"/>
        <w:tblLayout w:type="fixed"/>
        <w:tblLook w:firstColumn="1" w:firstRow="1" w:lastColumn="0" w:lastRow="0" w:noHBand="0" w:noVBand="1" w:val="04A0"/>
        <w:tblInd w:w="120" w:type="dxa"/>
        <w:tblBorders>
          <w:top w:val="single" w:sz="6" w:color="E3C56E"/>
          <w:left w:val="single" w:sz="6" w:color="E3C56E"/>
          <w:bottom w:val="single" w:sz="6" w:color="E3C56E"/>
          <w:right w:val="single" w:sz="6" w:color="E3C56E"/>
          <w:insideH w:val="single" w:sz="6" w:color="E3C56E"/>
          <w:insideV w:val="single" w:sz="6" w:color="E3C56E"/>
        </w:tblBorders>
      </w:tblPr>
      <w:tblGrid>
        <w:gridCol w:w="9360"/>
      </w:tblGrid>
      <w:tr>
        <w:trPr>
          <w:tblHeader w:val="true"/>
        </w:trPr>
        <w:tc>
          <w:tcPr>
            <w:tcW w:type="dxa" w:w="9360"/>
            <w:tcMar>
              <w:top w:w="80" w:type="dxa"/>
              <w:start w:w="120" w:type="dxa"/>
              <w:bottom w:w="80" w:type="dxa"/>
              <w:end w:w="120" w:type="dxa"/>
            </w:tcMar>
            <w:vAlign w:val="center"/>
            <w:shd w:fill="FFF4D6"/>
          </w:tcPr>
          <w:p>
            <w:pPr>
              <w:spacing w:before="80" w:after="80" w:line="264" w:lineRule="auto"/>
            </w:pPr>
            <w:r>
              <w:rPr>
                <w:rFonts w:ascii="Calibri" w:hAnsi="Calibri"/>
                <w:color w:val="7A5A00"/>
                <w:sz w:val="21"/>
              </w:rPr>
              <w:t>This document consolidates the API material received to date, the meeting intelligence consumed by Codex and Claude, the five latest delivery artifacts, and the current repository registers. Development-system access remains pending. All SAP object names, BAPIs, released APIs, CDS views, DDIC fields, service names, payload fields and effort estimates are candidates until verified in the target landscape and approved by the responsible owners.</w:t>
            </w:r>
          </w:p>
        </w:tc>
      </w:tr>
    </w:tbl>
    <w:p>
      <w:pPr>
        <w:spacing w:after="40"/>
      </w:pPr>
    </w:p>
    <w:p>
      <w:pPr>
        <w:spacing w:before="480" w:after="0"/>
      </w:pPr>
      <w:r>
        <w:rPr>
          <w:rFonts w:ascii="Calibri" w:hAnsi="Calibri"/>
          <w:i/>
          <w:color w:val="667085"/>
          <w:sz w:val="20"/>
        </w:rPr>
        <w:t>Prepared from the latest five delivery artifacts and reconciled project context</w:t>
      </w:r>
    </w:p>
    <w:p>
      <w:r>
        <w:br w:type="page"/>
      </w:r>
    </w:p>
    <w:p>
      <w:pPr>
        <w:pStyle w:val="Heading1"/>
      </w:pPr>
      <w:r>
        <w:rPr>
          <w:rFonts w:ascii="Calibri" w:hAnsi="Calibri"/>
          <w:color w:val="2E74B5"/>
          <w:sz w:val="32"/>
        </w:rPr>
        <w:t>1. Executive summary</w:t>
      </w:r>
    </w:p>
    <w:p>
      <w:pPr>
        <w:widowControl/>
      </w:pPr>
      <w:r>
        <w:rPr>
          <w:rFonts w:ascii="Calibri" w:hAnsi="Calibri"/>
          <w:color w:val="1F2937"/>
          <w:sz w:val="22"/>
        </w:rPr>
        <w:t>The latest delivery package defines ten business-facing API capabilities for the SAP workstream. Five are estimated as predominantly standard SAP operations, two as custom composite reads over standard SAP data, two as new construction or orchestration, and two have a delivery route that depends on whether SAP Document Compliance for India is licensed and configured. These categories overlap for conditional APIs and must not be read as ten mutually exclusive counts.</w:t>
      </w:r>
    </w:p>
    <w:p>
      <w:pPr>
        <w:widowControl/>
      </w:pPr>
      <w:r>
        <w:rPr>
          <w:rFonts w:ascii="Calibri" w:hAnsi="Calibri"/>
          <w:color w:val="1F2937"/>
          <w:sz w:val="22"/>
        </w:rPr>
        <w:t>SAP Integration Suite is now represented as part of the runtime path between Commerce Cloud and S/4HANA. S/4HANA remains authoritative for goods receipt, delivery, goods issue, shipment, shipment cost and billing documents. Commerce T1 serves selected portal views, Commerce T2 owns several portal master-data concepts, and Datasphere owns or serves STO, MRN, plant-storage-location and ageing information. The statutory portal is authoritative for IRN and E-Way Bill issuance, with results persisted in S/4HANA.</w:t>
      </w:r>
    </w:p>
    <w:p>
      <w:pPr>
        <w:widowControl/>
      </w:pPr>
      <w:r>
        <w:rPr>
          <w:rFonts w:ascii="Calibri" w:hAnsi="Calibri"/>
          <w:color w:val="1F2937"/>
          <w:sz w:val="22"/>
        </w:rPr>
        <w:t xml:space="preserve">The ten-API list is a business-capability view. It does not automatically supersede the repository's 24-interface discovery register or the 31-endpoint technical decomposition in </w:t>
      </w:r>
      <w:r>
        <w:rPr>
          <w:rFonts w:ascii="Consolas" w:hAnsi="Consolas"/>
          <w:color w:val="1F4D78"/>
          <w:sz w:val="20"/>
        </w:rPr>
        <w:t>SAP_API_DOSSIER.md</w:t>
      </w:r>
      <w:r>
        <w:rPr>
          <w:rFonts w:ascii="Calibri" w:hAnsi="Calibri"/>
          <w:color w:val="1F2937"/>
          <w:sz w:val="22"/>
        </w:rPr>
        <w:t>. Those models use different levels of granularity and require an owner-approved mapping before one becomes the canonical implementation backlog.</w:t>
      </w:r>
    </w:p>
    <w:p>
      <w:pPr>
        <w:widowControl/>
      </w:pPr>
      <w:r>
        <w:rPr>
          <w:rFonts w:ascii="Calibri" w:hAnsi="Calibri"/>
          <w:color w:val="1F2937"/>
          <w:sz w:val="22"/>
        </w:rPr>
        <w:t>The largest pre-access risks are:</w:t>
      </w:r>
    </w:p>
    <w:p>
      <w:pPr>
        <w:pStyle w:val="ListBullet"/>
      </w:pPr>
      <w:r>
        <w:rPr>
          <w:rFonts w:ascii="Calibri" w:hAnsi="Calibri"/>
          <w:color w:val="1F2937"/>
          <w:sz w:val="22"/>
        </w:rPr>
        <w:t>availability of released APIs and CDS views in the actual S/4HANA release;</w:t>
      </w:r>
    </w:p>
    <w:p>
      <w:pPr>
        <w:pStyle w:val="ListBullet"/>
      </w:pPr>
      <w:r>
        <w:rPr>
          <w:rFonts w:ascii="Calibri" w:hAnsi="Calibri"/>
          <w:color w:val="1F2937"/>
          <w:sz w:val="22"/>
        </w:rPr>
        <w:t>availability and configuration of SAP Document Compliance for India;</w:t>
      </w:r>
    </w:p>
    <w:p>
      <w:pPr>
        <w:pStyle w:val="ListBullet"/>
      </w:pPr>
      <w:r>
        <w:rPr>
          <w:rFonts w:ascii="Calibri" w:hAnsi="Calibri"/>
          <w:color w:val="1F2937"/>
          <w:sz w:val="22"/>
        </w:rPr>
        <w:t>ownership of outbound statutory calls and credentials between Integration Suite and ABAP;</w:t>
      </w:r>
    </w:p>
    <w:p>
      <w:pPr>
        <w:pStyle w:val="ListBullet"/>
      </w:pPr>
      <w:r>
        <w:rPr>
          <w:rFonts w:ascii="Calibri" w:hAnsi="Calibri"/>
          <w:color w:val="1F2937"/>
          <w:sz w:val="22"/>
        </w:rPr>
        <w:t>the synchronous versus staged design of invoice creation;</w:t>
      </w:r>
    </w:p>
    <w:p>
      <w:pPr>
        <w:pStyle w:val="ListBullet"/>
      </w:pPr>
      <w:r>
        <w:rPr>
          <w:rFonts w:ascii="Calibri" w:hAnsi="Calibri"/>
          <w:color w:val="1F2937"/>
          <w:sz w:val="22"/>
        </w:rPr>
        <w:t>the sales-order versus stock-transport-order delivery predecessor;</w:t>
      </w:r>
    </w:p>
    <w:p>
      <w:pPr>
        <w:pStyle w:val="ListBullet"/>
      </w:pPr>
      <w:r>
        <w:rPr>
          <w:rFonts w:ascii="Calibri" w:hAnsi="Calibri"/>
          <w:color w:val="1F2937"/>
          <w:sz w:val="22"/>
        </w:rPr>
        <w:t>the master-data dictionary and Commerce-to-SAP organisational mapping;</w:t>
      </w:r>
    </w:p>
    <w:p>
      <w:pPr>
        <w:pStyle w:val="ListBullet"/>
      </w:pPr>
      <w:r>
        <w:rPr>
          <w:rFonts w:ascii="Calibri" w:hAnsi="Calibri"/>
          <w:color w:val="1F2937"/>
          <w:sz w:val="22"/>
        </w:rPr>
        <w:t>idempotency, correlation, logging and stable error contracts;</w:t>
      </w:r>
    </w:p>
    <w:p>
      <w:pPr>
        <w:pStyle w:val="ListBullet"/>
      </w:pPr>
      <w:r>
        <w:rPr>
          <w:rFonts w:ascii="Calibri" w:hAnsi="Calibri"/>
          <w:color w:val="1F2937"/>
          <w:sz w:val="22"/>
        </w:rPr>
        <w:t>the scope of Modify DI and the fields editable before goods issue.</w:t>
      </w:r>
    </w:p>
    <w:p>
      <w:pPr>
        <w:widowControl/>
      </w:pPr>
      <w:r>
        <w:rPr>
          <w:rFonts w:ascii="Calibri" w:hAnsi="Calibri"/>
          <w:color w:val="1F2937"/>
          <w:sz w:val="22"/>
        </w:rPr>
        <w:t>Indicative SAP effort is 97-144 person-days if Document Compliance is available, plus 20-25 person-days if bespoke statutory integration is required. This is an engineering range for sequencing, not a committed schedule. It excludes functional analysis, CPI work, end-to-end test cycles and defect resolution.</w:t>
      </w:r>
    </w:p>
    <w:p>
      <w:r>
        <w:br w:type="page"/>
      </w:r>
    </w:p>
    <w:p>
      <w:pPr>
        <w:pStyle w:val="Heading1"/>
      </w:pPr>
      <w:r>
        <w:rPr>
          <w:rFonts w:ascii="Calibri" w:hAnsi="Calibri"/>
          <w:color w:val="2E74B5"/>
          <w:sz w:val="32"/>
        </w:rPr>
        <w:t>2. Evidence basis and confidence</w:t>
      </w:r>
    </w:p>
    <w:p>
      <w:pPr>
        <w:pStyle w:val="Heading2"/>
      </w:pPr>
      <w:r>
        <w:rPr>
          <w:rFonts w:ascii="Calibri" w:hAnsi="Calibri"/>
          <w:color w:val="2E74B5"/>
          <w:sz w:val="26"/>
        </w:rPr>
        <w:t>2.1 Sources consumed</w:t>
      </w:r>
    </w:p>
    <w:tbl>
      <w:tblPr>
        <w:tblStyle w:val="TableGrid"/>
        <w:tblW w:type="dxa" w:w="9360"/>
        <w:jc w:val="left"/>
        <w:tblLayout w:type="fixed"/>
        <w:tblLook w:firstColumn="1" w:firstRow="1" w:lastColumn="0" w:lastRow="0" w:noHBand="0" w:noVBand="1" w:val="04A0"/>
        <w:tblInd w:w="120" w:type="dxa"/>
        <w:tblBorders>
          <w:top w:val="single" w:sz="4" w:color="C9D2DC"/>
          <w:left w:val="single" w:sz="4" w:color="C9D2DC"/>
          <w:bottom w:val="single" w:sz="4" w:color="C9D2DC"/>
          <w:right w:val="single" w:sz="4" w:color="C9D2DC"/>
          <w:insideH w:val="single" w:sz="4" w:color="C9D2DC"/>
          <w:insideV w:val="single" w:sz="4" w:color="C9D2DC"/>
        </w:tblBorders>
      </w:tblPr>
      <w:tblGrid>
        <w:gridCol w:w="1200"/>
        <w:gridCol w:w="3100"/>
        <w:gridCol w:w="1800"/>
        <w:gridCol w:w="3260"/>
      </w:tblGrid>
      <w:tr>
        <w:trPr>
          <w:tblHeader w:val="true"/>
        </w:trPr>
        <w:tc>
          <w:tcPr>
            <w:tcW w:type="dxa" w:w="1200"/>
            <w:tcMar>
              <w:top w:w="80" w:type="dxa"/>
              <w:start w:w="120" w:type="dxa"/>
              <w:bottom w:w="80" w:type="dxa"/>
              <w:end w:w="120" w:type="dxa"/>
            </w:tcMar>
            <w:vAlign w:val="center"/>
            <w:shd w:fill="E8EEF5"/>
          </w:tcPr>
          <w:p>
            <w:pPr>
              <w:spacing w:before="0" w:after="0" w:line="240" w:lineRule="auto"/>
              <w:jc w:val="center"/>
            </w:pPr>
            <w:r>
              <w:rPr>
                <w:b/>
                <w:color w:val="1F4D78"/>
              </w:rPr>
            </w:r>
            <w:r>
              <w:rPr>
                <w:rFonts w:ascii="Calibri" w:hAnsi="Calibri"/>
                <w:b/>
                <w:color w:val="1F4D78"/>
                <w:sz w:val="18"/>
              </w:rPr>
              <w:t>Source ID</w:t>
            </w:r>
          </w:p>
        </w:tc>
        <w:tc>
          <w:tcPr>
            <w:tcW w:type="dxa" w:w="3100"/>
            <w:tcMar>
              <w:top w:w="80" w:type="dxa"/>
              <w:start w:w="120" w:type="dxa"/>
              <w:bottom w:w="80" w:type="dxa"/>
              <w:end w:w="120" w:type="dxa"/>
            </w:tcMar>
            <w:vAlign w:val="center"/>
            <w:shd w:fill="E8EEF5"/>
          </w:tcPr>
          <w:p>
            <w:pPr>
              <w:spacing w:before="0" w:after="0" w:line="240" w:lineRule="auto"/>
              <w:jc w:val="left"/>
            </w:pPr>
            <w:r>
              <w:rPr>
                <w:b/>
                <w:color w:val="1F4D78"/>
              </w:rPr>
            </w:r>
            <w:r>
              <w:rPr>
                <w:rFonts w:ascii="Calibri" w:hAnsi="Calibri"/>
                <w:b/>
                <w:color w:val="1F4D78"/>
                <w:sz w:val="18"/>
              </w:rPr>
              <w:t>Artifact</w:t>
            </w:r>
          </w:p>
        </w:tc>
        <w:tc>
          <w:tcPr>
            <w:tcW w:type="dxa" w:w="1800"/>
            <w:tcMar>
              <w:top w:w="80" w:type="dxa"/>
              <w:start w:w="120" w:type="dxa"/>
              <w:bottom w:w="80" w:type="dxa"/>
              <w:end w:w="120" w:type="dxa"/>
            </w:tcMar>
            <w:vAlign w:val="center"/>
            <w:shd w:fill="E8EEF5"/>
          </w:tcPr>
          <w:p>
            <w:pPr>
              <w:spacing w:before="0" w:after="0" w:line="240" w:lineRule="auto"/>
              <w:jc w:val="left"/>
            </w:pPr>
            <w:r>
              <w:rPr>
                <w:b/>
                <w:color w:val="1F4D78"/>
              </w:rPr>
            </w:r>
            <w:r>
              <w:rPr>
                <w:rFonts w:ascii="Calibri" w:hAnsi="Calibri"/>
                <w:b/>
                <w:color w:val="1F4D78"/>
                <w:sz w:val="18"/>
              </w:rPr>
              <w:t>Evidence class</w:t>
            </w:r>
          </w:p>
        </w:tc>
        <w:tc>
          <w:tcPr>
            <w:tcW w:type="dxa" w:w="3260"/>
            <w:tcMar>
              <w:top w:w="80" w:type="dxa"/>
              <w:start w:w="120" w:type="dxa"/>
              <w:bottom w:w="80" w:type="dxa"/>
              <w:end w:w="120" w:type="dxa"/>
            </w:tcMar>
            <w:vAlign w:val="center"/>
            <w:shd w:fill="E8EEF5"/>
          </w:tcPr>
          <w:p>
            <w:pPr>
              <w:spacing w:before="0" w:after="0" w:line="240" w:lineRule="auto"/>
              <w:jc w:val="left"/>
            </w:pPr>
            <w:r>
              <w:rPr>
                <w:b/>
                <w:color w:val="1F4D78"/>
              </w:rPr>
            </w:r>
            <w:r>
              <w:rPr>
                <w:rFonts w:ascii="Calibri" w:hAnsi="Calibri"/>
                <w:b/>
                <w:color w:val="1F4D78"/>
                <w:sz w:val="18"/>
              </w:rPr>
              <w:t>Use in this document</w:t>
            </w:r>
          </w:p>
        </w:tc>
      </w:tr>
      <w:tr>
        <w:tc>
          <w:tcPr>
            <w:tcW w:type="dxa" w:w="1200"/>
            <w:tcMar>
              <w:top w:w="80" w:type="dxa"/>
              <w:start w:w="120" w:type="dxa"/>
              <w:bottom w:w="80" w:type="dxa"/>
              <w:end w:w="120" w:type="dxa"/>
            </w:tcMar>
            <w:vAlign w:val="center"/>
          </w:tcPr>
          <w:p>
            <w:pPr>
              <w:spacing w:before="0" w:after="0" w:line="240" w:lineRule="auto"/>
              <w:jc w:val="center"/>
            </w:pPr>
            <w:r/>
            <w:r>
              <w:rPr>
                <w:rFonts w:ascii="Calibri" w:hAnsi="Calibri"/>
                <w:color w:val="1F2937"/>
                <w:sz w:val="18"/>
              </w:rPr>
              <w:t>SRC-DEL-001</w:t>
            </w:r>
          </w:p>
        </w:tc>
        <w:tc>
          <w:tcPr>
            <w:tcW w:type="dxa" w:w="3100"/>
            <w:tcMar>
              <w:top w:w="80" w:type="dxa"/>
              <w:start w:w="120" w:type="dxa"/>
              <w:bottom w:w="80" w:type="dxa"/>
              <w:end w:w="120" w:type="dxa"/>
            </w:tcMar>
            <w:vAlign w:val="center"/>
          </w:tcPr>
          <w:p>
            <w:pPr>
              <w:spacing w:before="0" w:after="0" w:line="240" w:lineRule="auto"/>
              <w:jc w:val="left"/>
            </w:pPr>
            <w:r/>
            <w:r>
              <w:rPr>
                <w:rFonts w:ascii="Consolas" w:hAnsi="Consolas"/>
                <w:color w:val="1F4D78"/>
                <w:sz w:val="17"/>
              </w:rPr>
              <w:t>CNF_API_CLASSIFICATION.pdf</w:t>
            </w:r>
          </w:p>
        </w:tc>
        <w:tc>
          <w:tcPr>
            <w:tcW w:type="dxa" w:w="18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Derived technical proposal</w:t>
            </w:r>
          </w:p>
        </w:tc>
        <w:tc>
          <w:tcPr>
            <w:tcW w:type="dxa" w:w="326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API classification, candidate SAP mechanisms and pre-access caveats</w:t>
            </w:r>
          </w:p>
        </w:tc>
      </w:tr>
      <w:tr>
        <w:tc>
          <w:tcPr>
            <w:tcW w:type="dxa" w:w="1200"/>
            <w:tcMar>
              <w:top w:w="80" w:type="dxa"/>
              <w:start w:w="120" w:type="dxa"/>
              <w:bottom w:w="80" w:type="dxa"/>
              <w:end w:w="120" w:type="dxa"/>
            </w:tcMar>
            <w:vAlign w:val="center"/>
          </w:tcPr>
          <w:p>
            <w:pPr>
              <w:spacing w:before="0" w:after="0" w:line="240" w:lineRule="auto"/>
              <w:jc w:val="center"/>
            </w:pPr>
            <w:r/>
            <w:r>
              <w:rPr>
                <w:rFonts w:ascii="Calibri" w:hAnsi="Calibri"/>
                <w:color w:val="1F2937"/>
                <w:sz w:val="18"/>
              </w:rPr>
              <w:t>SRC-DEL-002</w:t>
            </w:r>
          </w:p>
        </w:tc>
        <w:tc>
          <w:tcPr>
            <w:tcW w:type="dxa" w:w="3100"/>
            <w:tcMar>
              <w:top w:w="80" w:type="dxa"/>
              <w:start w:w="120" w:type="dxa"/>
              <w:bottom w:w="80" w:type="dxa"/>
              <w:end w:w="120" w:type="dxa"/>
            </w:tcMar>
            <w:vAlign w:val="center"/>
          </w:tcPr>
          <w:p>
            <w:pPr>
              <w:spacing w:before="0" w:after="0" w:line="240" w:lineRule="auto"/>
              <w:jc w:val="left"/>
            </w:pPr>
            <w:r/>
            <w:r>
              <w:rPr>
                <w:rFonts w:ascii="Consolas" w:hAnsi="Consolas"/>
                <w:color w:val="1F4D78"/>
                <w:sz w:val="17"/>
              </w:rPr>
              <w:t>CNF_API_Classification.xlsx</w:t>
            </w:r>
          </w:p>
        </w:tc>
        <w:tc>
          <w:tcPr>
            <w:tcW w:type="dxa" w:w="18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Derived technical register</w:t>
            </w:r>
          </w:p>
        </w:tc>
        <w:tc>
          <w:tcPr>
            <w:tcW w:type="dxa" w:w="326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Ten-API inventory and standard-versus-custom rationale</w:t>
            </w:r>
          </w:p>
        </w:tc>
      </w:tr>
      <w:tr>
        <w:tc>
          <w:tcPr>
            <w:tcW w:type="dxa" w:w="1200"/>
            <w:tcMar>
              <w:top w:w="80" w:type="dxa"/>
              <w:start w:w="120" w:type="dxa"/>
              <w:bottom w:w="80" w:type="dxa"/>
              <w:end w:w="120" w:type="dxa"/>
            </w:tcMar>
            <w:vAlign w:val="center"/>
          </w:tcPr>
          <w:p>
            <w:pPr>
              <w:spacing w:before="0" w:after="0" w:line="240" w:lineRule="auto"/>
              <w:jc w:val="center"/>
            </w:pPr>
            <w:r/>
            <w:r>
              <w:rPr>
                <w:rFonts w:ascii="Calibri" w:hAnsi="Calibri"/>
                <w:color w:val="1F2937"/>
                <w:sz w:val="18"/>
              </w:rPr>
              <w:t>SRC-DEL-003</w:t>
            </w:r>
          </w:p>
        </w:tc>
        <w:tc>
          <w:tcPr>
            <w:tcW w:type="dxa" w:w="3100"/>
            <w:tcMar>
              <w:top w:w="80" w:type="dxa"/>
              <w:start w:w="120" w:type="dxa"/>
              <w:bottom w:w="80" w:type="dxa"/>
              <w:end w:w="120" w:type="dxa"/>
            </w:tcMar>
            <w:vAlign w:val="center"/>
          </w:tcPr>
          <w:p>
            <w:pPr>
              <w:spacing w:before="0" w:after="0" w:line="240" w:lineRule="auto"/>
              <w:jc w:val="left"/>
            </w:pPr>
            <w:r/>
            <w:r>
              <w:rPr>
                <w:rFonts w:ascii="Consolas" w:hAnsi="Consolas"/>
                <w:color w:val="1F4D78"/>
                <w:sz w:val="17"/>
              </w:rPr>
              <w:t>CNF_Delivery_Planning.xlsx</w:t>
            </w:r>
          </w:p>
        </w:tc>
        <w:tc>
          <w:tcPr>
            <w:tcW w:type="dxa" w:w="18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Derived planning register</w:t>
            </w:r>
          </w:p>
        </w:tc>
        <w:tc>
          <w:tcPr>
            <w:tcW w:type="dxa" w:w="326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Business rules, effort, validations, assumptions and source-of-record model</w:t>
            </w:r>
          </w:p>
        </w:tc>
      </w:tr>
      <w:tr>
        <w:tc>
          <w:tcPr>
            <w:tcW w:type="dxa" w:w="1200"/>
            <w:tcMar>
              <w:top w:w="80" w:type="dxa"/>
              <w:start w:w="120" w:type="dxa"/>
              <w:bottom w:w="80" w:type="dxa"/>
              <w:end w:w="120" w:type="dxa"/>
            </w:tcMar>
            <w:vAlign w:val="center"/>
          </w:tcPr>
          <w:p>
            <w:pPr>
              <w:spacing w:before="0" w:after="0" w:line="240" w:lineRule="auto"/>
              <w:jc w:val="center"/>
            </w:pPr>
            <w:r/>
            <w:r>
              <w:rPr>
                <w:rFonts w:ascii="Calibri" w:hAnsi="Calibri"/>
                <w:color w:val="1F2937"/>
                <w:sz w:val="18"/>
              </w:rPr>
              <w:t>SRC-DEL-004</w:t>
            </w:r>
          </w:p>
        </w:tc>
        <w:tc>
          <w:tcPr>
            <w:tcW w:type="dxa" w:w="3100"/>
            <w:tcMar>
              <w:top w:w="80" w:type="dxa"/>
              <w:start w:w="120" w:type="dxa"/>
              <w:bottom w:w="80" w:type="dxa"/>
              <w:end w:w="120" w:type="dxa"/>
            </w:tcMar>
            <w:vAlign w:val="center"/>
          </w:tcPr>
          <w:p>
            <w:pPr>
              <w:spacing w:before="0" w:after="0" w:line="240" w:lineRule="auto"/>
              <w:jc w:val="left"/>
            </w:pPr>
            <w:r/>
            <w:r>
              <w:rPr>
                <w:rFonts w:ascii="Consolas" w:hAnsi="Consolas"/>
                <w:color w:val="1F4D78"/>
                <w:sz w:val="17"/>
              </w:rPr>
              <w:t>API_SPECIFICATION_PROPOSAL.md</w:t>
            </w:r>
          </w:p>
        </w:tc>
        <w:tc>
          <w:tcPr>
            <w:tcW w:type="dxa" w:w="18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Derived proposal summary</w:t>
            </w:r>
          </w:p>
        </w:tc>
        <w:tc>
          <w:tcPr>
            <w:tcW w:type="dxa" w:w="326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Latest architecture changes, API catalogue and requested next steps</w:t>
            </w:r>
          </w:p>
        </w:tc>
      </w:tr>
      <w:tr>
        <w:tc>
          <w:tcPr>
            <w:tcW w:type="dxa" w:w="1200"/>
            <w:tcMar>
              <w:top w:w="80" w:type="dxa"/>
              <w:start w:w="120" w:type="dxa"/>
              <w:bottom w:w="80" w:type="dxa"/>
              <w:end w:w="120" w:type="dxa"/>
            </w:tcMar>
            <w:vAlign w:val="center"/>
          </w:tcPr>
          <w:p>
            <w:pPr>
              <w:spacing w:before="0" w:after="0" w:line="240" w:lineRule="auto"/>
              <w:jc w:val="center"/>
            </w:pPr>
            <w:r/>
            <w:r>
              <w:rPr>
                <w:rFonts w:ascii="Calibri" w:hAnsi="Calibri"/>
                <w:color w:val="1F2937"/>
                <w:sz w:val="18"/>
              </w:rPr>
              <w:t>SRC-DEL-005</w:t>
            </w:r>
          </w:p>
        </w:tc>
        <w:tc>
          <w:tcPr>
            <w:tcW w:type="dxa" w:w="3100"/>
            <w:tcMar>
              <w:top w:w="80" w:type="dxa"/>
              <w:start w:w="120" w:type="dxa"/>
              <w:bottom w:w="80" w:type="dxa"/>
              <w:end w:w="120" w:type="dxa"/>
            </w:tcMar>
            <w:vAlign w:val="center"/>
          </w:tcPr>
          <w:p>
            <w:pPr>
              <w:spacing w:before="0" w:after="0" w:line="240" w:lineRule="auto"/>
              <w:jc w:val="left"/>
            </w:pPr>
            <w:r/>
            <w:r>
              <w:rPr>
                <w:rFonts w:ascii="Consolas" w:hAnsi="Consolas"/>
                <w:color w:val="1F4D78"/>
                <w:sz w:val="17"/>
              </w:rPr>
              <w:t>API_SPECIFICATION_PROPOSAL.pdf</w:t>
            </w:r>
          </w:p>
        </w:tc>
        <w:tc>
          <w:tcPr>
            <w:tcW w:type="dxa" w:w="18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Derived full proposal</w:t>
            </w:r>
          </w:p>
        </w:tc>
        <w:tc>
          <w:tcPr>
            <w:tcW w:type="dxa" w:w="326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Detailed API behaviour, service decomposition, NFRs and validation plan</w:t>
            </w:r>
          </w:p>
        </w:tc>
      </w:tr>
      <w:tr>
        <w:tc>
          <w:tcPr>
            <w:tcW w:type="dxa" w:w="1200"/>
            <w:tcMar>
              <w:top w:w="80" w:type="dxa"/>
              <w:start w:w="120" w:type="dxa"/>
              <w:bottom w:w="80" w:type="dxa"/>
              <w:end w:w="120" w:type="dxa"/>
            </w:tcMar>
            <w:vAlign w:val="center"/>
          </w:tcPr>
          <w:p>
            <w:pPr>
              <w:spacing w:before="0" w:after="0" w:line="240" w:lineRule="auto"/>
              <w:jc w:val="center"/>
            </w:pPr>
            <w:r/>
            <w:r>
              <w:rPr>
                <w:rFonts w:ascii="Calibri" w:hAnsi="Calibri"/>
                <w:color w:val="1F2937"/>
                <w:sz w:val="18"/>
              </w:rPr>
              <w:t>SRC-MTG-20260728-01..04</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Four design-walkthrough transcripts/translations</w:t>
            </w:r>
          </w:p>
        </w:tc>
        <w:tc>
          <w:tcPr>
            <w:tcW w:type="dxa" w:w="18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Meeting evidence, originals not present in this copy</w:t>
            </w:r>
          </w:p>
        </w:tc>
        <w:tc>
          <w:tcPr>
            <w:tcW w:type="dxa" w:w="326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Workflow, terminology, decisions, risks and open questions</w:t>
            </w:r>
          </w:p>
        </w:tc>
      </w:tr>
      <w:tr>
        <w:tc>
          <w:tcPr>
            <w:tcW w:type="dxa" w:w="1200"/>
            <w:tcMar>
              <w:top w:w="80" w:type="dxa"/>
              <w:start w:w="120" w:type="dxa"/>
              <w:bottom w:w="80" w:type="dxa"/>
              <w:end w:w="120" w:type="dxa"/>
            </w:tcMar>
            <w:vAlign w:val="center"/>
          </w:tcPr>
          <w:p>
            <w:pPr>
              <w:spacing w:before="0" w:after="0" w:line="240" w:lineRule="auto"/>
              <w:jc w:val="center"/>
            </w:pPr>
            <w:r/>
            <w:r>
              <w:rPr>
                <w:rFonts w:ascii="Calibri" w:hAnsi="Calibri"/>
                <w:color w:val="1F2937"/>
                <w:sz w:val="18"/>
              </w:rPr>
              <w:t>SRC-MTG-20260728-SUM</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Consolidated meeting summary</w:t>
            </w:r>
          </w:p>
        </w:tc>
        <w:tc>
          <w:tcPr>
            <w:tcW w:type="dxa" w:w="18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Derived meeting evidence</w:t>
            </w:r>
          </w:p>
        </w:tc>
        <w:tc>
          <w:tcPr>
            <w:tcW w:type="dxa" w:w="326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Cross-session reconciliation</w:t>
            </w:r>
          </w:p>
        </w:tc>
      </w:tr>
      <w:tr>
        <w:tc>
          <w:tcPr>
            <w:tcW w:type="dxa" w:w="1200"/>
            <w:tcMar>
              <w:top w:w="80" w:type="dxa"/>
              <w:start w:w="120" w:type="dxa"/>
              <w:bottom w:w="80" w:type="dxa"/>
              <w:end w:w="120" w:type="dxa"/>
            </w:tcMar>
            <w:vAlign w:val="center"/>
          </w:tcPr>
          <w:p>
            <w:pPr>
              <w:spacing w:before="0" w:after="0" w:line="240" w:lineRule="auto"/>
              <w:jc w:val="center"/>
            </w:pPr>
            <w:r/>
            <w:r>
              <w:rPr>
                <w:rFonts w:ascii="Calibri" w:hAnsi="Calibri"/>
                <w:color w:val="1F2937"/>
                <w:sz w:val="18"/>
              </w:rPr>
              <w:t>SRC-SID-20260729-01</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Direct clarification that DI means delivery</w:t>
            </w:r>
          </w:p>
        </w:tc>
        <w:tc>
          <w:tcPr>
            <w:tcW w:type="dxa" w:w="18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Direct stakeholder statement</w:t>
            </w:r>
          </w:p>
        </w:tc>
        <w:tc>
          <w:tcPr>
            <w:tcW w:type="dxa" w:w="326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Terminology and delivery-object interpretation</w:t>
            </w:r>
          </w:p>
        </w:tc>
      </w:tr>
      <w:tr>
        <w:tc>
          <w:tcPr>
            <w:tcW w:type="dxa" w:w="1200"/>
            <w:tcMar>
              <w:top w:w="80" w:type="dxa"/>
              <w:start w:w="120" w:type="dxa"/>
              <w:bottom w:w="80" w:type="dxa"/>
              <w:end w:w="120" w:type="dxa"/>
            </w:tcMar>
            <w:vAlign w:val="center"/>
          </w:tcPr>
          <w:p>
            <w:pPr>
              <w:spacing w:before="0" w:after="0" w:line="240" w:lineRule="auto"/>
              <w:jc w:val="center"/>
            </w:pPr>
            <w:r/>
            <w:r>
              <w:rPr>
                <w:rFonts w:ascii="Calibri" w:hAnsi="Calibri"/>
                <w:color w:val="1F2937"/>
                <w:sz w:val="18"/>
              </w:rPr>
              <w:t>SRC-PROJ-001</w:t>
            </w:r>
          </w:p>
        </w:tc>
        <w:tc>
          <w:tcPr>
            <w:tcW w:type="dxa" w:w="3100"/>
            <w:tcMar>
              <w:top w:w="80" w:type="dxa"/>
              <w:start w:w="120" w:type="dxa"/>
              <w:bottom w:w="80" w:type="dxa"/>
              <w:end w:w="120" w:type="dxa"/>
            </w:tcMar>
            <w:vAlign w:val="center"/>
          </w:tcPr>
          <w:p>
            <w:pPr>
              <w:spacing w:before="0" w:after="0" w:line="240" w:lineRule="auto"/>
              <w:jc w:val="left"/>
            </w:pPr>
            <w:r/>
            <w:r>
              <w:rPr>
                <w:rFonts w:ascii="Consolas" w:hAnsi="Consolas"/>
                <w:color w:val="1F4D78"/>
                <w:sz w:val="17"/>
              </w:rPr>
              <w:t>SAP_API_DOSSIER.md</w:t>
            </w:r>
          </w:p>
        </w:tc>
        <w:tc>
          <w:tcPr>
            <w:tcW w:type="dxa" w:w="18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Repository technical analysis</w:t>
            </w:r>
          </w:p>
        </w:tc>
        <w:tc>
          <w:tcPr>
            <w:tcW w:type="dxa" w:w="326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Defect findings, 31-endpoint decomposition and known contradictions</w:t>
            </w:r>
          </w:p>
        </w:tc>
      </w:tr>
    </w:tbl>
    <w:p>
      <w:pPr>
        <w:spacing w:after="20"/>
      </w:pPr>
    </w:p>
    <w:p>
      <w:pPr>
        <w:pStyle w:val="Heading2"/>
      </w:pPr>
      <w:r>
        <w:rPr>
          <w:rFonts w:ascii="Calibri" w:hAnsi="Calibri"/>
          <w:color w:val="2E74B5"/>
          <w:sz w:val="26"/>
        </w:rPr>
        <w:t>2.2 Evidence limitations</w:t>
      </w:r>
    </w:p>
    <w:p>
      <w:pPr>
        <w:pStyle w:val="ListBullet"/>
      </w:pPr>
      <w:r>
        <w:rPr>
          <w:rFonts w:ascii="Calibri" w:hAnsi="Calibri"/>
          <w:color w:val="1F2937"/>
          <w:sz w:val="22"/>
        </w:rPr>
        <w:t>DEV, QAS and PRD access has not been granted to this workstream.</w:t>
      </w:r>
    </w:p>
    <w:p>
      <w:pPr>
        <w:pStyle w:val="ListBullet"/>
      </w:pPr>
      <w:r>
        <w:rPr>
          <w:rFonts w:ascii="Calibri" w:hAnsi="Calibri"/>
          <w:color w:val="1F2937"/>
          <w:sz w:val="22"/>
        </w:rPr>
        <w:t>Exact S/4HANA product release, component levels, installed business functions and Gateway topology are unverified.</w:t>
      </w:r>
    </w:p>
    <w:p>
      <w:pPr>
        <w:pStyle w:val="ListBullet"/>
      </w:pPr>
      <w:r>
        <w:rPr>
          <w:rFonts w:ascii="Calibri" w:hAnsi="Calibri"/>
          <w:color w:val="1F2937"/>
          <w:sz w:val="22"/>
        </w:rPr>
        <w:t>No released-API or released-CDS inspection has been completed in the target landscape.</w:t>
      </w:r>
    </w:p>
    <w:p>
      <w:pPr>
        <w:pStyle w:val="ListBullet"/>
      </w:pPr>
      <w:r>
        <w:rPr>
          <w:rFonts w:ascii="Calibri" w:hAnsi="Calibri"/>
          <w:color w:val="1F2937"/>
          <w:sz w:val="22"/>
        </w:rPr>
        <w:t>The four original recordings and their source transcript files are not present in this repository copy; the meeting note is therefore second-hand for re-adjudication.</w:t>
      </w:r>
    </w:p>
    <w:p>
      <w:pPr>
        <w:pStyle w:val="ListBullet"/>
      </w:pPr>
      <w:r>
        <w:rPr>
          <w:rFonts w:ascii="Calibri" w:hAnsi="Calibri"/>
          <w:color w:val="1F2937"/>
          <w:sz w:val="22"/>
        </w:rPr>
        <w:t>The client process-register extract and landscape diagram cited by the latest proposal are not attached as primary sources in this repository copy.</w:t>
      </w:r>
    </w:p>
    <w:p>
      <w:pPr>
        <w:pStyle w:val="ListBullet"/>
      </w:pPr>
      <w:r>
        <w:rPr>
          <w:rFonts w:ascii="Calibri" w:hAnsi="Calibri"/>
          <w:color w:val="1F2937"/>
          <w:sz w:val="22"/>
        </w:rPr>
        <w:t>The BRD and CPI interface workbook remain pending as approved originals.</w:t>
      </w:r>
    </w:p>
    <w:p>
      <w:pPr>
        <w:pStyle w:val="ListBullet"/>
      </w:pPr>
      <w:r>
        <w:rPr>
          <w:rFonts w:ascii="Calibri" w:hAnsi="Calibri"/>
          <w:color w:val="1F2937"/>
          <w:sz w:val="22"/>
        </w:rPr>
        <w:t>No proposed object, contract or estimate in this document is authorization to create or change anything in SAP.</w:t>
      </w:r>
    </w:p>
    <w:p>
      <w:pPr>
        <w:pStyle w:val="Heading2"/>
      </w:pPr>
      <w:r>
        <w:rPr>
          <w:rFonts w:ascii="Calibri" w:hAnsi="Calibri"/>
          <w:color w:val="2E74B5"/>
          <w:sz w:val="26"/>
        </w:rPr>
        <w:t>2.3 Evidence classification</w:t>
      </w:r>
    </w:p>
    <w:p>
      <w:pPr>
        <w:widowControl/>
      </w:pPr>
      <w:r>
        <w:rPr>
          <w:rFonts w:ascii="Calibri" w:hAnsi="Calibri"/>
          <w:b/>
          <w:color w:val="1F2937"/>
          <w:sz w:val="22"/>
        </w:rPr>
        <w:t>Newly verified from the supplied package</w:t>
      </w:r>
    </w:p>
    <w:p>
      <w:pPr>
        <w:pStyle w:val="ListBullet"/>
      </w:pPr>
      <w:r>
        <w:rPr>
          <w:rFonts w:ascii="Calibri" w:hAnsi="Calibri"/>
          <w:color w:val="1F2937"/>
          <w:sz w:val="22"/>
        </w:rPr>
        <w:t>The package contains five internally consistent delivery artifacts dated 29-30 July 2026.</w:t>
      </w:r>
    </w:p>
    <w:p>
      <w:pPr>
        <w:pStyle w:val="ListBullet"/>
      </w:pPr>
      <w:r>
        <w:rPr>
          <w:rFonts w:ascii="Calibri" w:hAnsi="Calibri"/>
          <w:color w:val="1F2937"/>
          <w:sz w:val="22"/>
        </w:rPr>
        <w:t>The package describes Integration Suite in the Commerce-to-S/4 runtime path.</w:t>
      </w:r>
    </w:p>
    <w:p>
      <w:pPr>
        <w:pStyle w:val="ListBullet"/>
      </w:pPr>
      <w:r>
        <w:rPr>
          <w:rFonts w:ascii="Calibri" w:hAnsi="Calibri"/>
          <w:color w:val="1F2937"/>
          <w:sz w:val="22"/>
        </w:rPr>
        <w:t>The package contains a ten-API business catalogue, a 29-item validation register and an indicative effort model.</w:t>
      </w:r>
    </w:p>
    <w:p>
      <w:pPr>
        <w:pStyle w:val="ListBullet"/>
      </w:pPr>
      <w:r>
        <w:rPr>
          <w:rFonts w:ascii="Calibri" w:hAnsi="Calibri"/>
          <w:color w:val="1F2937"/>
          <w:sz w:val="22"/>
        </w:rPr>
        <w:t>The spreadsheets and PDFs are readable and internally usable as planning artifacts.</w:t>
      </w:r>
    </w:p>
    <w:p>
      <w:pPr>
        <w:widowControl/>
      </w:pPr>
      <w:r>
        <w:rPr>
          <w:rFonts w:ascii="Calibri" w:hAnsi="Calibri"/>
          <w:b/>
          <w:color w:val="1F2937"/>
          <w:sz w:val="22"/>
        </w:rPr>
        <w:t>Supported but not landscape-verified</w:t>
      </w:r>
    </w:p>
    <w:p>
      <w:pPr>
        <w:pStyle w:val="ListBullet"/>
      </w:pPr>
      <w:r>
        <w:rPr>
          <w:rFonts w:ascii="Calibri" w:hAnsi="Calibri"/>
          <w:color w:val="1F2937"/>
          <w:sz w:val="22"/>
        </w:rPr>
        <w:t>Candidate standard BAPIs, released services and document-compliance routes.</w:t>
      </w:r>
    </w:p>
    <w:p>
      <w:pPr>
        <w:pStyle w:val="ListBullet"/>
      </w:pPr>
      <w:r>
        <w:rPr>
          <w:rFonts w:ascii="Calibri" w:hAnsi="Calibri"/>
          <w:color w:val="1F2937"/>
          <w:sz w:val="22"/>
        </w:rPr>
        <w:t>Proposed service decomposition and payload fields.</w:t>
      </w:r>
    </w:p>
    <w:p>
      <w:pPr>
        <w:pStyle w:val="ListBullet"/>
      </w:pPr>
      <w:r>
        <w:rPr>
          <w:rFonts w:ascii="Calibri" w:hAnsi="Calibri"/>
          <w:color w:val="1F2937"/>
          <w:sz w:val="22"/>
        </w:rPr>
        <w:t>S/4 document-flow and orchestration assumptions.</w:t>
      </w:r>
    </w:p>
    <w:p>
      <w:pPr>
        <w:pStyle w:val="ListBullet"/>
      </w:pPr>
      <w:r>
        <w:rPr>
          <w:rFonts w:ascii="Calibri" w:hAnsi="Calibri"/>
          <w:color w:val="1F2937"/>
          <w:sz w:val="22"/>
        </w:rPr>
        <w:t>Source-of-record claims that rely on a client landscape diagram not attached here.</w:t>
      </w:r>
    </w:p>
    <w:p>
      <w:pPr>
        <w:widowControl/>
      </w:pPr>
      <w:r>
        <w:rPr>
          <w:rFonts w:ascii="Calibri" w:hAnsi="Calibri"/>
          <w:b/>
          <w:color w:val="1F2937"/>
          <w:sz w:val="22"/>
        </w:rPr>
        <w:t>Contradictory or unresolved</w:t>
      </w:r>
    </w:p>
    <w:p>
      <w:pPr>
        <w:pStyle w:val="ListBullet"/>
      </w:pPr>
      <w:r>
        <w:rPr>
          <w:rFonts w:ascii="Calibri" w:hAnsi="Calibri"/>
          <w:color w:val="1F2937"/>
          <w:sz w:val="22"/>
        </w:rPr>
        <w:t>Ten business APIs versus 24 interface requirements versus 31 technical endpoints.</w:t>
      </w:r>
    </w:p>
    <w:p>
      <w:pPr>
        <w:pStyle w:val="ListBullet"/>
      </w:pPr>
      <w:r>
        <w:rPr>
          <w:rFonts w:ascii="Calibri" w:hAnsi="Calibri"/>
          <w:color w:val="1F2937"/>
          <w:sz w:val="22"/>
        </w:rPr>
        <w:t>Meeting decision D-005 permits only open DI quantity editing, while API-10 also discusses batch reallocation and vehicle substitution.</w:t>
      </w:r>
    </w:p>
    <w:p>
      <w:pPr>
        <w:pStyle w:val="ListBullet"/>
      </w:pPr>
      <w:r>
        <w:rPr>
          <w:rFonts w:ascii="Calibri" w:hAnsi="Calibri"/>
          <w:color w:val="1F2937"/>
          <w:sz w:val="22"/>
        </w:rPr>
        <w:t>API-03 proposes atomic delivery creation plus logistics attributes, while standard vehicle/driver ownership may sit on shipment or a separate extension.</w:t>
      </w:r>
    </w:p>
    <w:p>
      <w:pPr>
        <w:pStyle w:val="ListBullet"/>
      </w:pPr>
      <w:r>
        <w:rPr>
          <w:rFonts w:ascii="Calibri" w:hAnsi="Calibri"/>
          <w:color w:val="1F2937"/>
          <w:sz w:val="22"/>
        </w:rPr>
        <w:t>Earlier architecture notes left exclusive Commerce-to-CPI routing open; the latest package marks Integration Suite in-path as confirmed.</w:t>
      </w:r>
    </w:p>
    <w:p>
      <w:pPr>
        <w:pStyle w:val="ListBullet"/>
      </w:pPr>
      <w:r>
        <w:rPr>
          <w:rFonts w:ascii="Calibri" w:hAnsi="Calibri"/>
          <w:color w:val="1F2937"/>
          <w:sz w:val="22"/>
        </w:rPr>
        <w:t>The Markdown summary says the validation register has 25 items in one section, while the latest workbook contains 29 items.</w:t>
      </w:r>
    </w:p>
    <w:p>
      <w:pPr>
        <w:pStyle w:val="ListBullet"/>
      </w:pPr>
      <w:r>
        <w:rPr>
          <w:rFonts w:ascii="Calibri" w:hAnsi="Calibri"/>
          <w:color w:val="1F2937"/>
          <w:sz w:val="22"/>
        </w:rPr>
        <w:t xml:space="preserve">The Markdown summary references </w:t>
      </w:r>
      <w:r>
        <w:rPr>
          <w:rFonts w:ascii="Consolas" w:hAnsi="Consolas"/>
          <w:color w:val="1F4D78"/>
          <w:sz w:val="20"/>
        </w:rPr>
        <w:t>CNF_API_Register.xlsx</w:t>
      </w:r>
      <w:r>
        <w:rPr>
          <w:rFonts w:ascii="Calibri" w:hAnsi="Calibri"/>
          <w:color w:val="1F2937"/>
          <w:sz w:val="22"/>
        </w:rPr>
        <w:t xml:space="preserve"> with eight sheets, but the supplied companion workbooks are </w:t>
      </w:r>
      <w:r>
        <w:rPr>
          <w:rFonts w:ascii="Consolas" w:hAnsi="Consolas"/>
          <w:color w:val="1F4D78"/>
          <w:sz w:val="20"/>
        </w:rPr>
        <w:t>CNF_API_Classification.xlsx</w:t>
      </w:r>
      <w:r>
        <w:rPr>
          <w:rFonts w:ascii="Calibri" w:hAnsi="Calibri"/>
          <w:color w:val="1F2937"/>
          <w:sz w:val="22"/>
        </w:rPr>
        <w:t xml:space="preserve"> and </w:t>
      </w:r>
      <w:r>
        <w:rPr>
          <w:rFonts w:ascii="Consolas" w:hAnsi="Consolas"/>
          <w:color w:val="1F4D78"/>
          <w:sz w:val="20"/>
        </w:rPr>
        <w:t>CNF_Delivery_Planning.xlsx</w:t>
      </w:r>
      <w:r>
        <w:rPr>
          <w:rFonts w:ascii="Calibri" w:hAnsi="Calibri"/>
          <w:color w:val="1F2937"/>
          <w:sz w:val="22"/>
        </w:rPr>
        <w:t>, with nine sheets in total.</w:t>
      </w:r>
    </w:p>
    <w:p>
      <w:r>
        <w:br w:type="page"/>
      </w:r>
    </w:p>
    <w:p>
      <w:pPr>
        <w:pStyle w:val="Heading1"/>
      </w:pPr>
      <w:r>
        <w:rPr>
          <w:rFonts w:ascii="Calibri" w:hAnsi="Calibri"/>
          <w:color w:val="2E74B5"/>
          <w:sz w:val="32"/>
        </w:rPr>
        <w:t>3. Latest cross-system architecture</w:t>
      </w:r>
    </w:p>
    <w:p>
      <w:pPr>
        <w:pStyle w:val="Heading2"/>
      </w:pPr>
      <w:r>
        <w:rPr>
          <w:rFonts w:ascii="Calibri" w:hAnsi="Calibri"/>
          <w:color w:val="2E74B5"/>
          <w:sz w:val="26"/>
        </w:rPr>
        <w:t>3.1 Runtime path</w:t>
      </w:r>
    </w:p>
    <w:p>
      <w:pPr>
        <w:widowControl/>
      </w:pPr>
      <w:r>
        <w:rPr>
          <w:rFonts w:ascii="Calibri" w:hAnsi="Calibri"/>
          <w:color w:val="1F2937"/>
          <w:sz w:val="22"/>
        </w:rPr>
        <w:t>The proposed runtime is:</w:t>
      </w:r>
    </w:p>
    <w:p>
      <w:pPr>
        <w:widowControl/>
      </w:pPr>
      <w:r>
        <w:rPr>
          <w:rFonts w:ascii="Calibri" w:hAnsi="Calibri"/>
          <w:color w:val="1F2937"/>
          <w:sz w:val="22"/>
        </w:rPr>
        <w:t>Commerce Cloud -&gt; SAP Integration Suite -&gt; SAP Gateway/API layer -&gt; ABAP application services -&gt; released SAP APIs, BAPIs and approved query models.</w:t>
      </w:r>
    </w:p>
    <w:p>
      <w:pPr>
        <w:widowControl/>
      </w:pPr>
      <w:r>
        <w:rPr>
          <w:rFonts w:ascii="Calibri" w:hAnsi="Calibri"/>
          <w:color w:val="1F2937"/>
          <w:sz w:val="22"/>
        </w:rPr>
        <w:t>Responses travel back through Integration Suite to Commerce. Correlation, retry and external-contract transformation must be agreed across layers. Integration Suite being in the path does not yet answer whether CPI or ABAP owns calls to statutory/GSP services.</w:t>
      </w:r>
    </w:p>
    <w:p>
      <w:pPr>
        <w:pStyle w:val="Heading2"/>
      </w:pPr>
      <w:r>
        <w:rPr>
          <w:rFonts w:ascii="Calibri" w:hAnsi="Calibri"/>
          <w:color w:val="2E74B5"/>
          <w:sz w:val="26"/>
        </w:rPr>
        <w:t>3.2 Source-of-record model</w:t>
      </w:r>
    </w:p>
    <w:tbl>
      <w:tblPr>
        <w:tblStyle w:val="TableGrid"/>
        <w:tblW w:type="dxa" w:w="9360"/>
        <w:jc w:val="left"/>
        <w:tblLayout w:type="fixed"/>
        <w:tblLook w:firstColumn="1" w:firstRow="1" w:lastColumn="0" w:lastRow="0" w:noHBand="0" w:noVBand="1" w:val="04A0"/>
        <w:tblInd w:w="120" w:type="dxa"/>
        <w:tblBorders>
          <w:top w:val="single" w:sz="4" w:color="C9D2DC"/>
          <w:left w:val="single" w:sz="4" w:color="C9D2DC"/>
          <w:bottom w:val="single" w:sz="4" w:color="C9D2DC"/>
          <w:right w:val="single" w:sz="4" w:color="C9D2DC"/>
          <w:insideH w:val="single" w:sz="4" w:color="C9D2DC"/>
          <w:insideV w:val="single" w:sz="4" w:color="C9D2DC"/>
        </w:tblBorders>
      </w:tblPr>
      <w:tblGrid>
        <w:gridCol w:w="1200"/>
        <w:gridCol w:w="3100"/>
        <w:gridCol w:w="1800"/>
        <w:gridCol w:w="3260"/>
      </w:tblGrid>
      <w:tr>
        <w:trPr>
          <w:tblHeader w:val="true"/>
        </w:trPr>
        <w:tc>
          <w:tcPr>
            <w:tcW w:type="dxa" w:w="1200"/>
            <w:tcMar>
              <w:top w:w="80" w:type="dxa"/>
              <w:start w:w="120" w:type="dxa"/>
              <w:bottom w:w="80" w:type="dxa"/>
              <w:end w:w="120" w:type="dxa"/>
            </w:tcMar>
            <w:vAlign w:val="center"/>
            <w:shd w:fill="E8EEF5"/>
          </w:tcPr>
          <w:p>
            <w:pPr>
              <w:spacing w:before="0" w:after="0" w:line="240" w:lineRule="auto"/>
              <w:jc w:val="center"/>
            </w:pPr>
            <w:r>
              <w:rPr>
                <w:b/>
                <w:color w:val="1F4D78"/>
              </w:rPr>
            </w:r>
            <w:r>
              <w:rPr>
                <w:rFonts w:ascii="Calibri" w:hAnsi="Calibri"/>
                <w:b/>
                <w:color w:val="1F4D78"/>
                <w:sz w:val="18"/>
              </w:rPr>
              <w:t>Concept</w:t>
            </w:r>
          </w:p>
        </w:tc>
        <w:tc>
          <w:tcPr>
            <w:tcW w:type="dxa" w:w="3100"/>
            <w:tcMar>
              <w:top w:w="80" w:type="dxa"/>
              <w:start w:w="120" w:type="dxa"/>
              <w:bottom w:w="80" w:type="dxa"/>
              <w:end w:w="120" w:type="dxa"/>
            </w:tcMar>
            <w:vAlign w:val="center"/>
            <w:shd w:fill="E8EEF5"/>
          </w:tcPr>
          <w:p>
            <w:pPr>
              <w:spacing w:before="0" w:after="0" w:line="240" w:lineRule="auto"/>
              <w:jc w:val="left"/>
            </w:pPr>
            <w:r>
              <w:rPr>
                <w:b/>
                <w:color w:val="1F4D78"/>
              </w:rPr>
            </w:r>
            <w:r>
              <w:rPr>
                <w:rFonts w:ascii="Calibri" w:hAnsi="Calibri"/>
                <w:b/>
                <w:color w:val="1F4D78"/>
                <w:sz w:val="18"/>
              </w:rPr>
              <w:t>Authoritative or serving system</w:t>
            </w:r>
          </w:p>
        </w:tc>
        <w:tc>
          <w:tcPr>
            <w:tcW w:type="dxa" w:w="1800"/>
            <w:tcMar>
              <w:top w:w="80" w:type="dxa"/>
              <w:start w:w="120" w:type="dxa"/>
              <w:bottom w:w="80" w:type="dxa"/>
              <w:end w:w="120" w:type="dxa"/>
            </w:tcMar>
            <w:vAlign w:val="center"/>
            <w:shd w:fill="E8EEF5"/>
          </w:tcPr>
          <w:p>
            <w:pPr>
              <w:spacing w:before="0" w:after="0" w:line="240" w:lineRule="auto"/>
              <w:jc w:val="left"/>
            </w:pPr>
            <w:r>
              <w:rPr>
                <w:b/>
                <w:color w:val="1F4D78"/>
              </w:rPr>
            </w:r>
            <w:r>
              <w:rPr>
                <w:rFonts w:ascii="Calibri" w:hAnsi="Calibri"/>
                <w:b/>
                <w:color w:val="1F4D78"/>
                <w:sz w:val="18"/>
              </w:rPr>
              <w:t>Currency</w:t>
            </w:r>
          </w:p>
        </w:tc>
        <w:tc>
          <w:tcPr>
            <w:tcW w:type="dxa" w:w="3260"/>
            <w:tcMar>
              <w:top w:w="80" w:type="dxa"/>
              <w:start w:w="120" w:type="dxa"/>
              <w:bottom w:w="80" w:type="dxa"/>
              <w:end w:w="120" w:type="dxa"/>
            </w:tcMar>
            <w:vAlign w:val="center"/>
            <w:shd w:fill="E8EEF5"/>
          </w:tcPr>
          <w:p>
            <w:pPr>
              <w:spacing w:before="0" w:after="0" w:line="240" w:lineRule="auto"/>
              <w:jc w:val="left"/>
            </w:pPr>
            <w:r>
              <w:rPr>
                <w:b/>
                <w:color w:val="1F4D78"/>
              </w:rPr>
            </w:r>
            <w:r>
              <w:rPr>
                <w:rFonts w:ascii="Calibri" w:hAnsi="Calibri"/>
                <w:b/>
                <w:color w:val="1F4D78"/>
                <w:sz w:val="18"/>
              </w:rPr>
              <w:t>SAP API consequence</w:t>
            </w:r>
          </w:p>
        </w:tc>
      </w:tr>
      <w:tr>
        <w:tc>
          <w:tcPr>
            <w:tcW w:type="dxa" w:w="1200"/>
            <w:tcMar>
              <w:top w:w="80" w:type="dxa"/>
              <w:start w:w="120" w:type="dxa"/>
              <w:bottom w:w="80" w:type="dxa"/>
              <w:end w:w="120" w:type="dxa"/>
            </w:tcMar>
            <w:vAlign w:val="center"/>
          </w:tcPr>
          <w:p>
            <w:pPr>
              <w:spacing w:before="0" w:after="0" w:line="240" w:lineRule="auto"/>
              <w:jc w:val="center"/>
            </w:pPr>
            <w:r/>
            <w:r>
              <w:rPr>
                <w:rFonts w:ascii="Calibri" w:hAnsi="Calibri"/>
                <w:color w:val="1F2937"/>
                <w:sz w:val="18"/>
              </w:rPr>
              <w:t>Goods receipt, delivery, goods issue, shipment, shipment cost, billing document</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S/4HANA</w:t>
            </w:r>
          </w:p>
        </w:tc>
        <w:tc>
          <w:tcPr>
            <w:tcW w:type="dxa" w:w="18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Real time</w:t>
            </w:r>
          </w:p>
        </w:tc>
        <w:tc>
          <w:tcPr>
            <w:tcW w:type="dxa" w:w="326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SAP creates, validates, locks and numbers these documents</w:t>
            </w:r>
          </w:p>
        </w:tc>
      </w:tr>
      <w:tr>
        <w:tc>
          <w:tcPr>
            <w:tcW w:type="dxa" w:w="1200"/>
            <w:tcMar>
              <w:top w:w="80" w:type="dxa"/>
              <w:start w:w="120" w:type="dxa"/>
              <w:bottom w:w="80" w:type="dxa"/>
              <w:end w:w="120" w:type="dxa"/>
            </w:tcMar>
            <w:vAlign w:val="center"/>
          </w:tcPr>
          <w:p>
            <w:pPr>
              <w:spacing w:before="0" w:after="0" w:line="240" w:lineRule="auto"/>
              <w:jc w:val="center"/>
            </w:pPr>
            <w:r/>
            <w:r>
              <w:rPr>
                <w:rFonts w:ascii="Calibri" w:hAnsi="Calibri"/>
                <w:color w:val="1F2937"/>
                <w:sz w:val="18"/>
              </w:rPr>
              <w:t>Stock and batch availability</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S/4HANA</w:t>
            </w:r>
          </w:p>
        </w:tc>
        <w:tc>
          <w:tcPr>
            <w:tcW w:type="dxa" w:w="18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Real time</w:t>
            </w:r>
          </w:p>
        </w:tc>
        <w:tc>
          <w:tcPr>
            <w:tcW w:type="dxa" w:w="326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Posting decisions must not use replicated snapshots</w:t>
            </w:r>
          </w:p>
        </w:tc>
      </w:tr>
      <w:tr>
        <w:tc>
          <w:tcPr>
            <w:tcW w:type="dxa" w:w="1200"/>
            <w:tcMar>
              <w:top w:w="80" w:type="dxa"/>
              <w:start w:w="120" w:type="dxa"/>
              <w:bottom w:w="80" w:type="dxa"/>
              <w:end w:w="120" w:type="dxa"/>
            </w:tcMar>
            <w:vAlign w:val="center"/>
          </w:tcPr>
          <w:p>
            <w:pPr>
              <w:spacing w:before="0" w:after="0" w:line="240" w:lineRule="auto"/>
              <w:jc w:val="center"/>
            </w:pPr>
            <w:r/>
            <w:r>
              <w:rPr>
                <w:rFonts w:ascii="Calibri" w:hAnsi="Calibri"/>
                <w:color w:val="1F2937"/>
                <w:sz w:val="18"/>
              </w:rPr>
              <w:t>IRN and E-Way Bill</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Statutory portal; result persisted in S/4HANA</w:t>
            </w:r>
          </w:p>
        </w:tc>
        <w:tc>
          <w:tcPr>
            <w:tcW w:type="dxa" w:w="18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Real time</w:t>
            </w:r>
          </w:p>
        </w:tc>
        <w:tc>
          <w:tcPr>
            <w:tcW w:type="dxa" w:w="326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Verify Document Compliance and outbound-call ownership</w:t>
            </w:r>
          </w:p>
        </w:tc>
      </w:tr>
      <w:tr>
        <w:tc>
          <w:tcPr>
            <w:tcW w:type="dxa" w:w="1200"/>
            <w:tcMar>
              <w:top w:w="80" w:type="dxa"/>
              <w:start w:w="120" w:type="dxa"/>
              <w:bottom w:w="80" w:type="dxa"/>
              <w:end w:w="120" w:type="dxa"/>
            </w:tcMar>
            <w:vAlign w:val="center"/>
          </w:tcPr>
          <w:p>
            <w:pPr>
              <w:spacing w:before="0" w:after="0" w:line="240" w:lineRule="auto"/>
              <w:jc w:val="center"/>
            </w:pPr>
            <w:r/>
            <w:r>
              <w:rPr>
                <w:rFonts w:ascii="Calibri" w:hAnsi="Calibri"/>
                <w:color w:val="1F2937"/>
                <w:sz w:val="18"/>
              </w:rPr>
              <w:t>Portal pending orders, deliveries and invoice-billing views</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Commerce T1, pushed from SAP through CPI</w:t>
            </w:r>
          </w:p>
        </w:tc>
        <w:tc>
          <w:tcPr>
            <w:tcW w:type="dxa" w:w="18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Flow-dependent</w:t>
            </w:r>
          </w:p>
        </w:tc>
        <w:tc>
          <w:tcPr>
            <w:tcW w:type="dxa" w:w="326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API-01 is narrower than a general portal dashboard read</w:t>
            </w:r>
          </w:p>
        </w:tc>
      </w:tr>
      <w:tr>
        <w:tc>
          <w:tcPr>
            <w:tcW w:type="dxa" w:w="1200"/>
            <w:tcMar>
              <w:top w:w="80" w:type="dxa"/>
              <w:start w:w="120" w:type="dxa"/>
              <w:bottom w:w="80" w:type="dxa"/>
              <w:end w:w="120" w:type="dxa"/>
            </w:tcMar>
            <w:vAlign w:val="center"/>
          </w:tcPr>
          <w:p>
            <w:pPr>
              <w:spacing w:before="0" w:after="0" w:line="240" w:lineRule="auto"/>
              <w:jc w:val="center"/>
            </w:pPr>
            <w:r/>
            <w:r>
              <w:rPr>
                <w:rFonts w:ascii="Calibri" w:hAnsi="Calibri"/>
                <w:color w:val="1F2937"/>
                <w:sz w:val="18"/>
              </w:rPr>
              <w:t>Invoice download</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Commerce T1; CRM portal fallback</w:t>
            </w:r>
          </w:p>
        </w:tc>
        <w:tc>
          <w:tcPr>
            <w:tcW w:type="dxa" w:w="18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Not stated</w:t>
            </w:r>
          </w:p>
        </w:tc>
        <w:tc>
          <w:tcPr>
            <w:tcW w:type="dxa" w:w="326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Do not assume SAP API is the primary file-download route</w:t>
            </w:r>
          </w:p>
        </w:tc>
      </w:tr>
      <w:tr>
        <w:tc>
          <w:tcPr>
            <w:tcW w:type="dxa" w:w="1200"/>
            <w:tcMar>
              <w:top w:w="80" w:type="dxa"/>
              <w:start w:w="120" w:type="dxa"/>
              <w:bottom w:w="80" w:type="dxa"/>
              <w:end w:w="120" w:type="dxa"/>
            </w:tcMar>
            <w:vAlign w:val="center"/>
          </w:tcPr>
          <w:p>
            <w:pPr>
              <w:spacing w:before="0" w:after="0" w:line="240" w:lineRule="auto"/>
              <w:jc w:val="center"/>
            </w:pPr>
            <w:r/>
            <w:r>
              <w:rPr>
                <w:rFonts w:ascii="Calibri" w:hAnsi="Calibri"/>
                <w:color w:val="1F2937"/>
                <w:sz w:val="18"/>
              </w:rPr>
              <w:t>Depot, user, agent-depot, geography, material alias, Incoterms, storage location, depot-SL and SL-SPI</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Commerce T2</w:t>
            </w:r>
          </w:p>
        </w:tc>
        <w:tc>
          <w:tcPr>
            <w:tcW w:type="dxa" w:w="18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Commerce-maintained</w:t>
            </w:r>
          </w:p>
        </w:tc>
        <w:tc>
          <w:tcPr>
            <w:tcW w:type="dxa" w:w="326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Define and own mapping to SAP organisational values</w:t>
            </w:r>
          </w:p>
        </w:tc>
      </w:tr>
      <w:tr>
        <w:tc>
          <w:tcPr>
            <w:tcW w:type="dxa" w:w="1200"/>
            <w:tcMar>
              <w:top w:w="80" w:type="dxa"/>
              <w:start w:w="120" w:type="dxa"/>
              <w:bottom w:w="80" w:type="dxa"/>
              <w:end w:w="120" w:type="dxa"/>
            </w:tcMar>
            <w:vAlign w:val="center"/>
          </w:tcPr>
          <w:p>
            <w:pPr>
              <w:spacing w:before="0" w:after="0" w:line="240" w:lineRule="auto"/>
              <w:jc w:val="center"/>
            </w:pPr>
            <w:r/>
            <w:r>
              <w:rPr>
                <w:rFonts w:ascii="Calibri" w:hAnsi="Calibri"/>
                <w:color w:val="1F2937"/>
                <w:sz w:val="18"/>
              </w:rPr>
              <w:t>Vehicle master and transporter</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Commerce T2 and Datasphere</w:t>
            </w:r>
          </w:p>
        </w:tc>
        <w:tc>
          <w:tcPr>
            <w:tcW w:type="dxa" w:w="18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Duplicated; DSP daily</w:t>
            </w:r>
          </w:p>
        </w:tc>
        <w:tc>
          <w:tcPr>
            <w:tcW w:type="dxa" w:w="326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Resolve authoritative value and posting payload</w:t>
            </w:r>
          </w:p>
        </w:tc>
      </w:tr>
      <w:tr>
        <w:tc>
          <w:tcPr>
            <w:tcW w:type="dxa" w:w="1200"/>
            <w:tcMar>
              <w:top w:w="80" w:type="dxa"/>
              <w:start w:w="120" w:type="dxa"/>
              <w:bottom w:w="80" w:type="dxa"/>
              <w:end w:w="120" w:type="dxa"/>
            </w:tcMar>
            <w:vAlign w:val="center"/>
          </w:tcPr>
          <w:p>
            <w:pPr>
              <w:spacing w:before="0" w:after="0" w:line="240" w:lineRule="auto"/>
              <w:jc w:val="center"/>
            </w:pPr>
            <w:r/>
            <w:r>
              <w:rPr>
                <w:rFonts w:ascii="Calibri" w:hAnsi="Calibri"/>
                <w:color w:val="1F2937"/>
                <w:sz w:val="18"/>
              </w:rPr>
              <w:t>STO and MRN</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Datasphere</w:t>
            </w:r>
          </w:p>
        </w:tc>
        <w:tc>
          <w:tcPr>
            <w:tcW w:type="dxa" w:w="18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Near real time</w:t>
            </w:r>
          </w:p>
        </w:tc>
        <w:tc>
          <w:tcPr>
            <w:tcW w:type="dxa" w:w="326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SAP returns material-document keys; it must not fabricate MRN</w:t>
            </w:r>
          </w:p>
        </w:tc>
      </w:tr>
      <w:tr>
        <w:tc>
          <w:tcPr>
            <w:tcW w:type="dxa" w:w="1200"/>
            <w:tcMar>
              <w:top w:w="80" w:type="dxa"/>
              <w:start w:w="120" w:type="dxa"/>
              <w:bottom w:w="80" w:type="dxa"/>
              <w:end w:w="120" w:type="dxa"/>
            </w:tcMar>
            <w:vAlign w:val="center"/>
          </w:tcPr>
          <w:p>
            <w:pPr>
              <w:spacing w:before="0" w:after="0" w:line="240" w:lineRule="auto"/>
              <w:jc w:val="center"/>
            </w:pPr>
            <w:r/>
            <w:r>
              <w:rPr>
                <w:rFonts w:ascii="Calibri" w:hAnsi="Calibri"/>
                <w:color w:val="1F2937"/>
                <w:sz w:val="18"/>
              </w:rPr>
              <w:t>Plant-SL and ageing report</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Datasphere</w:t>
            </w:r>
          </w:p>
        </w:tc>
        <w:tc>
          <w:tcPr>
            <w:tcW w:type="dxa" w:w="18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Daily</w:t>
            </w:r>
          </w:p>
        </w:tc>
        <w:tc>
          <w:tcPr>
            <w:tcW w:type="dxa" w:w="326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Analytical/reference reads are outside real-time SAP availability</w:t>
            </w:r>
          </w:p>
        </w:tc>
      </w:tr>
    </w:tbl>
    <w:p>
      <w:pPr>
        <w:spacing w:after="20"/>
      </w:pPr>
    </w:p>
    <w:p>
      <w:pPr>
        <w:pStyle w:val="Heading2"/>
      </w:pPr>
      <w:r>
        <w:rPr>
          <w:rFonts w:ascii="Calibri" w:hAnsi="Calibri"/>
          <w:color w:val="2E74B5"/>
          <w:sz w:val="26"/>
        </w:rPr>
        <w:t>3.3 Boundary principles</w:t>
      </w:r>
    </w:p>
    <w:p>
      <w:pPr>
        <w:pStyle w:val="ListBullet"/>
      </w:pPr>
      <w:r>
        <w:rPr>
          <w:rFonts w:ascii="Calibri" w:hAnsi="Calibri"/>
          <w:color w:val="1F2937"/>
          <w:sz w:val="22"/>
        </w:rPr>
        <w:t>Commerce owns the user experience; frontend ownership is not assigned by this document.</w:t>
      </w:r>
    </w:p>
    <w:p>
      <w:pPr>
        <w:pStyle w:val="ListBullet"/>
      </w:pPr>
      <w:r>
        <w:rPr>
          <w:rFonts w:ascii="Calibri" w:hAnsi="Calibri"/>
          <w:color w:val="1F2937"/>
          <w:sz w:val="22"/>
        </w:rPr>
        <w:t>Integration Suite owns transport-level integration only to the extent confirmed by architecture owners.</w:t>
      </w:r>
    </w:p>
    <w:p>
      <w:pPr>
        <w:pStyle w:val="ListBullet"/>
      </w:pPr>
      <w:r>
        <w:rPr>
          <w:rFonts w:ascii="Calibri" w:hAnsi="Calibri"/>
          <w:color w:val="1F2937"/>
          <w:sz w:val="22"/>
        </w:rPr>
        <w:t>S/4HANA owns transactional validity and document posting for SAP documents.</w:t>
      </w:r>
    </w:p>
    <w:p>
      <w:pPr>
        <w:pStyle w:val="ListBullet"/>
      </w:pPr>
      <w:r>
        <w:rPr>
          <w:rFonts w:ascii="Calibri" w:hAnsi="Calibri"/>
          <w:color w:val="1F2937"/>
          <w:sz w:val="22"/>
        </w:rPr>
        <w:t>Datasphere is not a substitute for real-time SAP stock or posting validation.</w:t>
      </w:r>
    </w:p>
    <w:p>
      <w:pPr>
        <w:pStyle w:val="ListBullet"/>
      </w:pPr>
      <w:r>
        <w:rPr>
          <w:rFonts w:ascii="Calibri" w:hAnsi="Calibri"/>
          <w:color w:val="1F2937"/>
          <w:sz w:val="22"/>
        </w:rPr>
        <w:t>Portal-owned master values require an explicit mapping contract before SAP payloads can be frozen.</w:t>
      </w:r>
    </w:p>
    <w:p>
      <w:pPr>
        <w:pStyle w:val="ListBullet"/>
      </w:pPr>
      <w:r>
        <w:rPr>
          <w:rFonts w:ascii="Calibri" w:hAnsi="Calibri"/>
          <w:color w:val="1F2937"/>
          <w:sz w:val="22"/>
        </w:rPr>
        <w:t>Statutory credentials must never be placed in application tables.</w:t>
      </w:r>
    </w:p>
    <w:p>
      <w:r>
        <w:br w:type="page"/>
      </w:r>
    </w:p>
    <w:p>
      <w:pPr>
        <w:pStyle w:val="Heading1"/>
      </w:pPr>
      <w:r>
        <w:rPr>
          <w:rFonts w:ascii="Calibri" w:hAnsi="Calibri"/>
          <w:color w:val="2E74B5"/>
          <w:sz w:val="32"/>
        </w:rPr>
        <w:t>4. API classification framework</w:t>
      </w:r>
    </w:p>
    <w:p>
      <w:pPr>
        <w:widowControl/>
      </w:pPr>
      <w:r>
        <w:rPr>
          <w:rFonts w:ascii="Calibri" w:hAnsi="Calibri"/>
          <w:b/>
          <w:color w:val="1F2937"/>
          <w:sz w:val="22"/>
        </w:rPr>
        <w:t>S - Standard-oriented:</w:t>
      </w:r>
      <w:r>
        <w:rPr>
          <w:rFonts w:ascii="Calibri" w:hAnsi="Calibri"/>
          <w:color w:val="1F2937"/>
          <w:sz w:val="22"/>
        </w:rPr>
        <w:t xml:space="preserve"> a released SAP API, BAPI or delivered service performs the core business operation. A thin wrapper may still be needed for contract stability, authorization, correlation and error mapping.</w:t>
      </w:r>
    </w:p>
    <w:p>
      <w:pPr>
        <w:widowControl/>
      </w:pPr>
      <w:r>
        <w:rPr>
          <w:rFonts w:ascii="Calibri" w:hAnsi="Calibri"/>
          <w:b/>
          <w:color w:val="1F2937"/>
          <w:sz w:val="22"/>
        </w:rPr>
        <w:t>C - Custom over standard:</w:t>
      </w:r>
      <w:r>
        <w:rPr>
          <w:rFonts w:ascii="Calibri" w:hAnsi="Calibri"/>
          <w:color w:val="1F2937"/>
          <w:sz w:val="22"/>
        </w:rPr>
        <w:t xml:space="preserve"> no single standard interface provides the required business answer, but it can be composed from standard document flow, released views or approved tables without creating a new business transaction.</w:t>
      </w:r>
    </w:p>
    <w:p>
      <w:pPr>
        <w:widowControl/>
      </w:pPr>
      <w:r>
        <w:rPr>
          <w:rFonts w:ascii="Calibri" w:hAnsi="Calibri"/>
          <w:b/>
          <w:color w:val="1F2937"/>
          <w:sz w:val="22"/>
        </w:rPr>
        <w:t>X - New construction:</w:t>
      </w:r>
      <w:r>
        <w:rPr>
          <w:rFonts w:ascii="Calibri" w:hAnsi="Calibri"/>
          <w:color w:val="1F2937"/>
          <w:sz w:val="22"/>
        </w:rPr>
        <w:t xml:space="preserve"> the capability requires orchestration state, simulation logic, resumability, external coordination or another application service not delivered as a single standard SAP operation.</w:t>
      </w:r>
    </w:p>
    <w:p>
      <w:pPr>
        <w:widowControl/>
      </w:pPr>
      <w:r>
        <w:rPr>
          <w:rFonts w:ascii="Calibri" w:hAnsi="Calibri"/>
          <w:color w:val="1F2937"/>
          <w:sz w:val="22"/>
        </w:rPr>
        <w:t>Classification is about the core business mechanism, not total implementation effort. Every production API still needs security, logging, idempotency where applicable, stable errors and integration testing.</w:t>
      </w:r>
    </w:p>
    <w:p>
      <w:r>
        <w:br w:type="page"/>
      </w:r>
    </w:p>
    <w:p>
      <w:pPr>
        <w:pStyle w:val="Heading1"/>
      </w:pPr>
      <w:r>
        <w:rPr>
          <w:rFonts w:ascii="Calibri" w:hAnsi="Calibri"/>
          <w:color w:val="2E74B5"/>
          <w:sz w:val="32"/>
        </w:rPr>
        <w:t>5. Proposed SAP API portfolio</w:t>
      </w:r>
    </w:p>
    <w:tbl>
      <w:tblPr>
        <w:tblStyle w:val="TableGrid"/>
        <w:tblW w:type="dxa" w:w="9360"/>
        <w:jc w:val="left"/>
        <w:tblLayout w:type="fixed"/>
        <w:tblLook w:firstColumn="1" w:firstRow="1" w:lastColumn="0" w:lastRow="0" w:noHBand="0" w:noVBand="1" w:val="04A0"/>
        <w:tblInd w:w="120" w:type="dxa"/>
        <w:tblBorders>
          <w:top w:val="single" w:sz="4" w:color="C9D2DC"/>
          <w:left w:val="single" w:sz="4" w:color="C9D2DC"/>
          <w:bottom w:val="single" w:sz="4" w:color="C9D2DC"/>
          <w:right w:val="single" w:sz="4" w:color="C9D2DC"/>
          <w:insideH w:val="single" w:sz="4" w:color="C9D2DC"/>
          <w:insideV w:val="single" w:sz="4" w:color="C9D2DC"/>
        </w:tblBorders>
      </w:tblPr>
      <w:tblGrid>
        <w:gridCol w:w="900"/>
        <w:gridCol w:w="2200"/>
        <w:gridCol w:w="1100"/>
        <w:gridCol w:w="1600"/>
        <w:gridCol w:w="3560"/>
      </w:tblGrid>
      <w:tr>
        <w:trPr>
          <w:tblHeader w:val="true"/>
        </w:trPr>
        <w:tc>
          <w:tcPr>
            <w:tcW w:type="dxa" w:w="900"/>
            <w:tcMar>
              <w:top w:w="80" w:type="dxa"/>
              <w:start w:w="120" w:type="dxa"/>
              <w:bottom w:w="80" w:type="dxa"/>
              <w:end w:w="120" w:type="dxa"/>
            </w:tcMar>
            <w:vAlign w:val="center"/>
            <w:shd w:fill="E8EEF5"/>
          </w:tcPr>
          <w:p>
            <w:pPr>
              <w:spacing w:before="0" w:after="0" w:line="240" w:lineRule="auto"/>
              <w:jc w:val="center"/>
            </w:pPr>
            <w:r>
              <w:rPr>
                <w:b/>
                <w:color w:val="1F4D78"/>
              </w:rPr>
            </w:r>
            <w:r>
              <w:rPr>
                <w:rFonts w:ascii="Calibri" w:hAnsi="Calibri"/>
                <w:b/>
                <w:color w:val="1F4D78"/>
                <w:sz w:val="17"/>
              </w:rPr>
              <w:t>ID</w:t>
            </w:r>
          </w:p>
        </w:tc>
        <w:tc>
          <w:tcPr>
            <w:tcW w:type="dxa" w:w="2200"/>
            <w:tcMar>
              <w:top w:w="80" w:type="dxa"/>
              <w:start w:w="120" w:type="dxa"/>
              <w:bottom w:w="80" w:type="dxa"/>
              <w:end w:w="120" w:type="dxa"/>
            </w:tcMar>
            <w:vAlign w:val="center"/>
            <w:shd w:fill="E8EEF5"/>
          </w:tcPr>
          <w:p>
            <w:pPr>
              <w:spacing w:before="0" w:after="0" w:line="240" w:lineRule="auto"/>
              <w:jc w:val="left"/>
            </w:pPr>
            <w:r>
              <w:rPr>
                <w:b/>
                <w:color w:val="1F4D78"/>
              </w:rPr>
            </w:r>
            <w:r>
              <w:rPr>
                <w:rFonts w:ascii="Calibri" w:hAnsi="Calibri"/>
                <w:b/>
                <w:color w:val="1F4D78"/>
                <w:sz w:val="17"/>
              </w:rPr>
              <w:t>Capability</w:t>
            </w:r>
          </w:p>
        </w:tc>
        <w:tc>
          <w:tcPr>
            <w:tcW w:type="dxa" w:w="1100"/>
            <w:tcMar>
              <w:top w:w="80" w:type="dxa"/>
              <w:start w:w="120" w:type="dxa"/>
              <w:bottom w:w="80" w:type="dxa"/>
              <w:end w:w="120" w:type="dxa"/>
            </w:tcMar>
            <w:vAlign w:val="center"/>
            <w:shd w:fill="E8EEF5"/>
          </w:tcPr>
          <w:p>
            <w:pPr>
              <w:spacing w:before="0" w:after="0" w:line="240" w:lineRule="auto"/>
              <w:jc w:val="left"/>
            </w:pPr>
            <w:r>
              <w:rPr>
                <w:b/>
                <w:color w:val="1F4D78"/>
              </w:rPr>
            </w:r>
            <w:r>
              <w:rPr>
                <w:rFonts w:ascii="Calibri" w:hAnsi="Calibri"/>
                <w:b/>
                <w:color w:val="1F4D78"/>
                <w:sz w:val="17"/>
              </w:rPr>
              <w:t>Mode</w:t>
            </w:r>
          </w:p>
        </w:tc>
        <w:tc>
          <w:tcPr>
            <w:tcW w:type="dxa" w:w="1600"/>
            <w:tcMar>
              <w:top w:w="80" w:type="dxa"/>
              <w:start w:w="120" w:type="dxa"/>
              <w:bottom w:w="80" w:type="dxa"/>
              <w:end w:w="120" w:type="dxa"/>
            </w:tcMar>
            <w:vAlign w:val="center"/>
            <w:shd w:fill="E8EEF5"/>
          </w:tcPr>
          <w:p>
            <w:pPr>
              <w:spacing w:before="0" w:after="0" w:line="240" w:lineRule="auto"/>
              <w:jc w:val="left"/>
            </w:pPr>
            <w:r>
              <w:rPr>
                <w:b/>
                <w:color w:val="1F4D78"/>
              </w:rPr>
            </w:r>
            <w:r>
              <w:rPr>
                <w:rFonts w:ascii="Calibri" w:hAnsi="Calibri"/>
                <w:b/>
                <w:color w:val="1F4D78"/>
                <w:sz w:val="17"/>
              </w:rPr>
              <w:t>Pre-access class</w:t>
            </w:r>
          </w:p>
        </w:tc>
        <w:tc>
          <w:tcPr>
            <w:tcW w:type="dxa" w:w="3560"/>
            <w:tcMar>
              <w:top w:w="80" w:type="dxa"/>
              <w:start w:w="120" w:type="dxa"/>
              <w:bottom w:w="80" w:type="dxa"/>
              <w:end w:w="120" w:type="dxa"/>
            </w:tcMar>
            <w:vAlign w:val="center"/>
            <w:shd w:fill="E8EEF5"/>
          </w:tcPr>
          <w:p>
            <w:pPr>
              <w:spacing w:before="0" w:after="0" w:line="240" w:lineRule="auto"/>
              <w:jc w:val="left"/>
            </w:pPr>
            <w:r>
              <w:rPr>
                <w:b/>
                <w:color w:val="1F4D78"/>
              </w:rPr>
            </w:r>
            <w:r>
              <w:rPr>
                <w:rFonts w:ascii="Calibri" w:hAnsi="Calibri"/>
                <w:b/>
                <w:color w:val="1F4D78"/>
                <w:sz w:val="17"/>
              </w:rPr>
              <w:t>Proposed SAP service</w:t>
            </w:r>
          </w:p>
        </w:tc>
      </w:tr>
      <w:tr>
        <w:tc>
          <w:tcPr>
            <w:tcW w:type="dxa" w:w="9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API-01</w:t>
            </w:r>
          </w:p>
        </w:tc>
        <w:tc>
          <w:tcPr>
            <w:tcW w:type="dxa" w:w="22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Check MIGO / receipt position</w:t>
            </w:r>
          </w:p>
        </w:tc>
        <w:tc>
          <w:tcPr>
            <w:tcW w:type="dxa" w:w="11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Read</w:t>
            </w:r>
          </w:p>
        </w:tc>
        <w:tc>
          <w:tcPr>
            <w:tcW w:type="dxa" w:w="16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C</w:t>
            </w:r>
          </w:p>
        </w:tc>
        <w:tc>
          <w:tcPr>
            <w:tcW w:type="dxa" w:w="3560"/>
            <w:tcMar>
              <w:top w:w="80" w:type="dxa"/>
              <w:start w:w="120" w:type="dxa"/>
              <w:bottom w:w="80" w:type="dxa"/>
              <w:end w:w="120" w:type="dxa"/>
            </w:tcMar>
            <w:vAlign w:val="center"/>
          </w:tcPr>
          <w:p>
            <w:pPr>
              <w:spacing w:before="0" w:after="0" w:line="240" w:lineRule="auto"/>
              <w:jc w:val="left"/>
            </w:pPr>
            <w:r/>
            <w:r>
              <w:rPr>
                <w:rFonts w:ascii="Consolas" w:hAnsi="Consolas"/>
                <w:color w:val="1F4D78"/>
                <w:sz w:val="17"/>
              </w:rPr>
              <w:t>ZCNF_RECEIPT_SRV</w:t>
            </w:r>
          </w:p>
        </w:tc>
      </w:tr>
      <w:tr>
        <w:tc>
          <w:tcPr>
            <w:tcW w:type="dxa" w:w="9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API-02</w:t>
            </w:r>
          </w:p>
        </w:tc>
        <w:tc>
          <w:tcPr>
            <w:tcW w:type="dxa" w:w="22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Submit MIGO</w:t>
            </w:r>
          </w:p>
        </w:tc>
        <w:tc>
          <w:tcPr>
            <w:tcW w:type="dxa" w:w="11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Command</w:t>
            </w:r>
          </w:p>
        </w:tc>
        <w:tc>
          <w:tcPr>
            <w:tcW w:type="dxa" w:w="16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S</w:t>
            </w:r>
          </w:p>
        </w:tc>
        <w:tc>
          <w:tcPr>
            <w:tcW w:type="dxa" w:w="3560"/>
            <w:tcMar>
              <w:top w:w="80" w:type="dxa"/>
              <w:start w:w="120" w:type="dxa"/>
              <w:bottom w:w="80" w:type="dxa"/>
              <w:end w:w="120" w:type="dxa"/>
            </w:tcMar>
            <w:vAlign w:val="center"/>
          </w:tcPr>
          <w:p>
            <w:pPr>
              <w:spacing w:before="0" w:after="0" w:line="240" w:lineRule="auto"/>
              <w:jc w:val="left"/>
            </w:pPr>
            <w:r/>
            <w:r>
              <w:rPr>
                <w:rFonts w:ascii="Consolas" w:hAnsi="Consolas"/>
                <w:color w:val="1F4D78"/>
                <w:sz w:val="17"/>
              </w:rPr>
              <w:t>ZCNF_RECEIPT_SRV</w:t>
            </w:r>
          </w:p>
        </w:tc>
      </w:tr>
      <w:tr>
        <w:tc>
          <w:tcPr>
            <w:tcW w:type="dxa" w:w="9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API-03</w:t>
            </w:r>
          </w:p>
        </w:tc>
        <w:tc>
          <w:tcPr>
            <w:tcW w:type="dxa" w:w="22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Create DI / outbound delivery</w:t>
            </w:r>
          </w:p>
        </w:tc>
        <w:tc>
          <w:tcPr>
            <w:tcW w:type="dxa" w:w="11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Command</w:t>
            </w:r>
          </w:p>
        </w:tc>
        <w:tc>
          <w:tcPr>
            <w:tcW w:type="dxa" w:w="16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S</w:t>
            </w:r>
          </w:p>
        </w:tc>
        <w:tc>
          <w:tcPr>
            <w:tcW w:type="dxa" w:w="3560"/>
            <w:tcMar>
              <w:top w:w="80" w:type="dxa"/>
              <w:start w:w="120" w:type="dxa"/>
              <w:bottom w:w="80" w:type="dxa"/>
              <w:end w:w="120" w:type="dxa"/>
            </w:tcMar>
            <w:vAlign w:val="center"/>
          </w:tcPr>
          <w:p>
            <w:pPr>
              <w:spacing w:before="0" w:after="0" w:line="240" w:lineRule="auto"/>
              <w:jc w:val="left"/>
            </w:pPr>
            <w:r/>
            <w:r>
              <w:rPr>
                <w:rFonts w:ascii="Consolas" w:hAnsi="Consolas"/>
                <w:color w:val="1F4D78"/>
                <w:sz w:val="17"/>
              </w:rPr>
              <w:t>ZCNF_DELIVERY_SRV</w:t>
            </w:r>
          </w:p>
        </w:tc>
      </w:tr>
      <w:tr>
        <w:tc>
          <w:tcPr>
            <w:tcW w:type="dxa" w:w="9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API-04</w:t>
            </w:r>
          </w:p>
        </w:tc>
        <w:tc>
          <w:tcPr>
            <w:tcW w:type="dxa" w:w="22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Stock and batch availability</w:t>
            </w:r>
          </w:p>
        </w:tc>
        <w:tc>
          <w:tcPr>
            <w:tcW w:type="dxa" w:w="11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Read</w:t>
            </w:r>
          </w:p>
        </w:tc>
        <w:tc>
          <w:tcPr>
            <w:tcW w:type="dxa" w:w="16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C</w:t>
            </w:r>
          </w:p>
        </w:tc>
        <w:tc>
          <w:tcPr>
            <w:tcW w:type="dxa" w:w="3560"/>
            <w:tcMar>
              <w:top w:w="80" w:type="dxa"/>
              <w:start w:w="120" w:type="dxa"/>
              <w:bottom w:w="80" w:type="dxa"/>
              <w:end w:w="120" w:type="dxa"/>
            </w:tcMar>
            <w:vAlign w:val="center"/>
          </w:tcPr>
          <w:p>
            <w:pPr>
              <w:spacing w:before="0" w:after="0" w:line="240" w:lineRule="auto"/>
              <w:jc w:val="left"/>
            </w:pPr>
            <w:r/>
            <w:r>
              <w:rPr>
                <w:rFonts w:ascii="Consolas" w:hAnsi="Consolas"/>
                <w:color w:val="1F4D78"/>
                <w:sz w:val="17"/>
              </w:rPr>
              <w:t>ZCNF_STOCK_SRV</w:t>
            </w:r>
          </w:p>
        </w:tc>
      </w:tr>
      <w:tr>
        <w:tc>
          <w:tcPr>
            <w:tcW w:type="dxa" w:w="9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API-05</w:t>
            </w:r>
          </w:p>
        </w:tc>
        <w:tc>
          <w:tcPr>
            <w:tcW w:type="dxa" w:w="22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Shipment cost estimate or actual</w:t>
            </w:r>
          </w:p>
        </w:tc>
        <w:tc>
          <w:tcPr>
            <w:tcW w:type="dxa" w:w="11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Read/simulation</w:t>
            </w:r>
          </w:p>
        </w:tc>
        <w:tc>
          <w:tcPr>
            <w:tcW w:type="dxa" w:w="16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X for estimate; S for actual</w:t>
            </w:r>
          </w:p>
        </w:tc>
        <w:tc>
          <w:tcPr>
            <w:tcW w:type="dxa" w:w="3560"/>
            <w:tcMar>
              <w:top w:w="80" w:type="dxa"/>
              <w:start w:w="120" w:type="dxa"/>
              <w:bottom w:w="80" w:type="dxa"/>
              <w:end w:w="120" w:type="dxa"/>
            </w:tcMar>
            <w:vAlign w:val="center"/>
          </w:tcPr>
          <w:p>
            <w:pPr>
              <w:spacing w:before="0" w:after="0" w:line="240" w:lineRule="auto"/>
              <w:jc w:val="left"/>
            </w:pPr>
            <w:r/>
            <w:r>
              <w:rPr>
                <w:rFonts w:ascii="Consolas" w:hAnsi="Consolas"/>
                <w:color w:val="1F4D78"/>
                <w:sz w:val="17"/>
              </w:rPr>
              <w:t>ZCNF_DISPATCH_SRV</w:t>
            </w:r>
          </w:p>
        </w:tc>
      </w:tr>
      <w:tr>
        <w:tc>
          <w:tcPr>
            <w:tcW w:type="dxa" w:w="9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API-06</w:t>
            </w:r>
          </w:p>
        </w:tc>
        <w:tc>
          <w:tcPr>
            <w:tcW w:type="dxa" w:w="22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Invoice creation orchestration</w:t>
            </w:r>
          </w:p>
        </w:tc>
        <w:tc>
          <w:tcPr>
            <w:tcW w:type="dxa" w:w="11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Command/status</w:t>
            </w:r>
          </w:p>
        </w:tc>
        <w:tc>
          <w:tcPr>
            <w:tcW w:type="dxa" w:w="16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X</w:t>
            </w:r>
          </w:p>
        </w:tc>
        <w:tc>
          <w:tcPr>
            <w:tcW w:type="dxa" w:w="3560"/>
            <w:tcMar>
              <w:top w:w="80" w:type="dxa"/>
              <w:start w:w="120" w:type="dxa"/>
              <w:bottom w:w="80" w:type="dxa"/>
              <w:end w:w="120" w:type="dxa"/>
            </w:tcMar>
            <w:vAlign w:val="center"/>
          </w:tcPr>
          <w:p>
            <w:pPr>
              <w:spacing w:before="0" w:after="0" w:line="240" w:lineRule="auto"/>
              <w:jc w:val="left"/>
            </w:pPr>
            <w:r/>
            <w:r>
              <w:rPr>
                <w:rFonts w:ascii="Consolas" w:hAnsi="Consolas"/>
                <w:color w:val="1F4D78"/>
                <w:sz w:val="17"/>
              </w:rPr>
              <w:t>ZCNF_BILLING_SRV</w:t>
            </w:r>
          </w:p>
        </w:tc>
      </w:tr>
      <w:tr>
        <w:tc>
          <w:tcPr>
            <w:tcW w:type="dxa" w:w="9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API-07</w:t>
            </w:r>
          </w:p>
        </w:tc>
        <w:tc>
          <w:tcPr>
            <w:tcW w:type="dxa" w:w="22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Invoice correction or reversal</w:t>
            </w:r>
          </w:p>
        </w:tc>
        <w:tc>
          <w:tcPr>
            <w:tcW w:type="dxa" w:w="11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Command</w:t>
            </w:r>
          </w:p>
        </w:tc>
        <w:tc>
          <w:tcPr>
            <w:tcW w:type="dxa" w:w="16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S</w:t>
            </w:r>
          </w:p>
        </w:tc>
        <w:tc>
          <w:tcPr>
            <w:tcW w:type="dxa" w:w="3560"/>
            <w:tcMar>
              <w:top w:w="80" w:type="dxa"/>
              <w:start w:w="120" w:type="dxa"/>
              <w:bottom w:w="80" w:type="dxa"/>
              <w:end w:w="120" w:type="dxa"/>
            </w:tcMar>
            <w:vAlign w:val="center"/>
          </w:tcPr>
          <w:p>
            <w:pPr>
              <w:spacing w:before="0" w:after="0" w:line="240" w:lineRule="auto"/>
              <w:jc w:val="left"/>
            </w:pPr>
            <w:r/>
            <w:r>
              <w:rPr>
                <w:rFonts w:ascii="Consolas" w:hAnsi="Consolas"/>
                <w:color w:val="1F4D78"/>
                <w:sz w:val="17"/>
              </w:rPr>
              <w:t>ZCNF_BILLING_SRV</w:t>
            </w:r>
          </w:p>
        </w:tc>
      </w:tr>
      <w:tr>
        <w:tc>
          <w:tcPr>
            <w:tcW w:type="dxa" w:w="9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API-08</w:t>
            </w:r>
          </w:p>
        </w:tc>
        <w:tc>
          <w:tcPr>
            <w:tcW w:type="dxa" w:w="22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E-Invoice correction</w:t>
            </w:r>
          </w:p>
        </w:tc>
        <w:tc>
          <w:tcPr>
            <w:tcW w:type="dxa" w:w="11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Command</w:t>
            </w:r>
          </w:p>
        </w:tc>
        <w:tc>
          <w:tcPr>
            <w:tcW w:type="dxa" w:w="16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S if Document Compliance is available; otherwise X</w:t>
            </w:r>
          </w:p>
        </w:tc>
        <w:tc>
          <w:tcPr>
            <w:tcW w:type="dxa" w:w="3560"/>
            <w:tcMar>
              <w:top w:w="80" w:type="dxa"/>
              <w:start w:w="120" w:type="dxa"/>
              <w:bottom w:w="80" w:type="dxa"/>
              <w:end w:w="120" w:type="dxa"/>
            </w:tcMar>
            <w:vAlign w:val="center"/>
          </w:tcPr>
          <w:p>
            <w:pPr>
              <w:spacing w:before="0" w:after="0" w:line="240" w:lineRule="auto"/>
              <w:jc w:val="left"/>
            </w:pPr>
            <w:r/>
            <w:r>
              <w:rPr>
                <w:rFonts w:ascii="Consolas" w:hAnsi="Consolas"/>
                <w:color w:val="1F4D78"/>
                <w:sz w:val="17"/>
              </w:rPr>
              <w:t>ZCNF_EDOC_SRV</w:t>
            </w:r>
          </w:p>
        </w:tc>
      </w:tr>
      <w:tr>
        <w:tc>
          <w:tcPr>
            <w:tcW w:type="dxa" w:w="9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API-09</w:t>
            </w:r>
          </w:p>
        </w:tc>
        <w:tc>
          <w:tcPr>
            <w:tcW w:type="dxa" w:w="22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E-Way Bill extension</w:t>
            </w:r>
          </w:p>
        </w:tc>
        <w:tc>
          <w:tcPr>
            <w:tcW w:type="dxa" w:w="11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Command</w:t>
            </w:r>
          </w:p>
        </w:tc>
        <w:tc>
          <w:tcPr>
            <w:tcW w:type="dxa" w:w="16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S if Document Compliance supports it; otherwise X</w:t>
            </w:r>
          </w:p>
        </w:tc>
        <w:tc>
          <w:tcPr>
            <w:tcW w:type="dxa" w:w="3560"/>
            <w:tcMar>
              <w:top w:w="80" w:type="dxa"/>
              <w:start w:w="120" w:type="dxa"/>
              <w:bottom w:w="80" w:type="dxa"/>
              <w:end w:w="120" w:type="dxa"/>
            </w:tcMar>
            <w:vAlign w:val="center"/>
          </w:tcPr>
          <w:p>
            <w:pPr>
              <w:spacing w:before="0" w:after="0" w:line="240" w:lineRule="auto"/>
              <w:jc w:val="left"/>
            </w:pPr>
            <w:r/>
            <w:r>
              <w:rPr>
                <w:rFonts w:ascii="Consolas" w:hAnsi="Consolas"/>
                <w:color w:val="1F4D78"/>
                <w:sz w:val="17"/>
              </w:rPr>
              <w:t>ZCNF_EDOC_SRV</w:t>
            </w:r>
          </w:p>
        </w:tc>
      </w:tr>
      <w:tr>
        <w:tc>
          <w:tcPr>
            <w:tcW w:type="dxa" w:w="9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API-10</w:t>
            </w:r>
          </w:p>
        </w:tc>
        <w:tc>
          <w:tcPr>
            <w:tcW w:type="dxa" w:w="22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Modify DI</w:t>
            </w:r>
          </w:p>
        </w:tc>
        <w:tc>
          <w:tcPr>
            <w:tcW w:type="dxa" w:w="11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Command</w:t>
            </w:r>
          </w:p>
        </w:tc>
        <w:tc>
          <w:tcPr>
            <w:tcW w:type="dxa" w:w="16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S</w:t>
            </w:r>
          </w:p>
        </w:tc>
        <w:tc>
          <w:tcPr>
            <w:tcW w:type="dxa" w:w="3560"/>
            <w:tcMar>
              <w:top w:w="80" w:type="dxa"/>
              <w:start w:w="120" w:type="dxa"/>
              <w:bottom w:w="80" w:type="dxa"/>
              <w:end w:w="120" w:type="dxa"/>
            </w:tcMar>
            <w:vAlign w:val="center"/>
          </w:tcPr>
          <w:p>
            <w:pPr>
              <w:spacing w:before="0" w:after="0" w:line="240" w:lineRule="auto"/>
              <w:jc w:val="left"/>
            </w:pPr>
            <w:r/>
            <w:r>
              <w:rPr>
                <w:rFonts w:ascii="Consolas" w:hAnsi="Consolas"/>
                <w:color w:val="1F4D78"/>
                <w:sz w:val="17"/>
              </w:rPr>
              <w:t>ZCNF_DELIVERY_SRV</w:t>
            </w:r>
          </w:p>
        </w:tc>
      </w:tr>
    </w:tbl>
    <w:p>
      <w:pPr>
        <w:spacing w:after="20"/>
      </w:pPr>
    </w:p>
    <w:p>
      <w:pPr>
        <w:widowControl/>
      </w:pPr>
      <w:r>
        <w:rPr>
          <w:rFonts w:ascii="Calibri" w:hAnsi="Calibri"/>
          <w:color w:val="1F2937"/>
          <w:sz w:val="22"/>
        </w:rPr>
        <w:t xml:space="preserve">The </w:t>
      </w:r>
      <w:r>
        <w:rPr>
          <w:rFonts w:ascii="Consolas" w:hAnsi="Consolas"/>
          <w:color w:val="1F4D78"/>
          <w:sz w:val="20"/>
        </w:rPr>
        <w:t>ZCNF_*</w:t>
      </w:r>
      <w:r>
        <w:rPr>
          <w:rFonts w:ascii="Calibri" w:hAnsi="Calibri"/>
          <w:color w:val="1F2937"/>
          <w:sz w:val="22"/>
        </w:rPr>
        <w:t xml:space="preserve"> service names are placeholders. Package, namespace, protocol version, service split and public resource names require development-standards approval.</w:t>
      </w:r>
    </w:p>
    <w:p>
      <w:r>
        <w:br w:type="page"/>
      </w:r>
    </w:p>
    <w:p>
      <w:pPr>
        <w:pStyle w:val="Heading1"/>
      </w:pPr>
      <w:r>
        <w:rPr>
          <w:rFonts w:ascii="Calibri" w:hAnsi="Calibri"/>
          <w:color w:val="2E74B5"/>
          <w:sz w:val="32"/>
        </w:rPr>
        <w:t>6. Common contract requirements</w:t>
      </w:r>
    </w:p>
    <w:p>
      <w:pPr>
        <w:pStyle w:val="Heading2"/>
      </w:pPr>
      <w:r>
        <w:rPr>
          <w:rFonts w:ascii="Calibri" w:hAnsi="Calibri"/>
          <w:color w:val="2E74B5"/>
          <w:sz w:val="26"/>
        </w:rPr>
        <w:t>6.1 Request envelope</w:t>
      </w:r>
    </w:p>
    <w:p>
      <w:pPr>
        <w:widowControl/>
      </w:pPr>
      <w:r>
        <w:rPr>
          <w:rFonts w:ascii="Calibri" w:hAnsi="Calibri"/>
          <w:color w:val="1F2937"/>
          <w:sz w:val="22"/>
        </w:rPr>
        <w:t>Each command should carry:</w:t>
      </w:r>
    </w:p>
    <w:p>
      <w:pPr>
        <w:pStyle w:val="ListBullet"/>
      </w:pPr>
      <w:r>
        <w:rPr>
          <w:rFonts w:ascii="Calibri" w:hAnsi="Calibri"/>
          <w:color w:val="1F2937"/>
          <w:sz w:val="22"/>
        </w:rPr>
        <w:t>an external request ID that is unique in the agreed retention window;</w:t>
      </w:r>
    </w:p>
    <w:p>
      <w:pPr>
        <w:pStyle w:val="ListBullet"/>
      </w:pPr>
      <w:r>
        <w:rPr>
          <w:rFonts w:ascii="Calibri" w:hAnsi="Calibri"/>
          <w:color w:val="1F2937"/>
          <w:sz w:val="22"/>
        </w:rPr>
        <w:t>a correlation ID propagated end to end;</w:t>
      </w:r>
    </w:p>
    <w:p>
      <w:pPr>
        <w:pStyle w:val="ListBullet"/>
      </w:pPr>
      <w:r>
        <w:rPr>
          <w:rFonts w:ascii="Calibri" w:hAnsi="Calibri"/>
          <w:color w:val="1F2937"/>
          <w:sz w:val="22"/>
        </w:rPr>
        <w:t>the calling business identity and authorised organisational scope;</w:t>
      </w:r>
    </w:p>
    <w:p>
      <w:pPr>
        <w:pStyle w:val="ListBullet"/>
      </w:pPr>
      <w:r>
        <w:rPr>
          <w:rFonts w:ascii="Calibri" w:hAnsi="Calibri"/>
          <w:color w:val="1F2937"/>
          <w:sz w:val="22"/>
        </w:rPr>
        <w:t>an explicit contract version;</w:t>
      </w:r>
    </w:p>
    <w:p>
      <w:pPr>
        <w:pStyle w:val="ListBullet"/>
      </w:pPr>
      <w:r>
        <w:rPr>
          <w:rFonts w:ascii="Calibri" w:hAnsi="Calibri"/>
          <w:color w:val="1F2937"/>
          <w:sz w:val="22"/>
        </w:rPr>
        <w:t>document keys and item keys with SAP leading-zero handling defined;</w:t>
      </w:r>
    </w:p>
    <w:p>
      <w:pPr>
        <w:pStyle w:val="ListBullet"/>
      </w:pPr>
      <w:r>
        <w:rPr>
          <w:rFonts w:ascii="Calibri" w:hAnsi="Calibri"/>
          <w:color w:val="1F2937"/>
          <w:sz w:val="22"/>
        </w:rPr>
        <w:t>quantities and amounts as decimal values with UOM or currency;</w:t>
      </w:r>
    </w:p>
    <w:p>
      <w:pPr>
        <w:pStyle w:val="ListBullet"/>
      </w:pPr>
      <w:r>
        <w:rPr>
          <w:rFonts w:ascii="Calibri" w:hAnsi="Calibri"/>
          <w:color w:val="1F2937"/>
          <w:sz w:val="22"/>
        </w:rPr>
        <w:t>dates and times in agreed ISO formats and timezone;</w:t>
      </w:r>
    </w:p>
    <w:p>
      <w:pPr>
        <w:pStyle w:val="ListBullet"/>
      </w:pPr>
      <w:r>
        <w:rPr>
          <w:rFonts w:ascii="Calibri" w:hAnsi="Calibri"/>
          <w:color w:val="1F2937"/>
          <w:sz w:val="22"/>
        </w:rPr>
        <w:t>optional client reference fields only when an owner and purpose are defined.</w:t>
      </w:r>
    </w:p>
    <w:p>
      <w:pPr>
        <w:pStyle w:val="Heading2"/>
      </w:pPr>
      <w:r>
        <w:rPr>
          <w:rFonts w:ascii="Calibri" w:hAnsi="Calibri"/>
          <w:color w:val="2E74B5"/>
          <w:sz w:val="26"/>
        </w:rPr>
        <w:t>6.2 Response envelope</w:t>
      </w:r>
    </w:p>
    <w:p>
      <w:pPr>
        <w:widowControl/>
      </w:pPr>
      <w:r>
        <w:rPr>
          <w:rFonts w:ascii="Calibri" w:hAnsi="Calibri"/>
          <w:color w:val="1F2937"/>
          <w:sz w:val="22"/>
        </w:rPr>
        <w:t>Responses should contain:</w:t>
      </w:r>
    </w:p>
    <w:p>
      <w:pPr>
        <w:pStyle w:val="ListBullet"/>
      </w:pPr>
      <w:r>
        <w:rPr>
          <w:rFonts w:ascii="Calibri" w:hAnsi="Calibri"/>
          <w:color w:val="1F2937"/>
          <w:sz w:val="22"/>
        </w:rPr>
        <w:t>outcome status;</w:t>
      </w:r>
    </w:p>
    <w:p>
      <w:pPr>
        <w:pStyle w:val="ListBullet"/>
      </w:pPr>
      <w:r>
        <w:rPr>
          <w:rFonts w:ascii="Calibri" w:hAnsi="Calibri"/>
          <w:color w:val="1F2937"/>
          <w:sz w:val="22"/>
        </w:rPr>
        <w:t>SAP document keys actually created or read;</w:t>
      </w:r>
    </w:p>
    <w:p>
      <w:pPr>
        <w:pStyle w:val="ListBullet"/>
      </w:pPr>
      <w:r>
        <w:rPr>
          <w:rFonts w:ascii="Calibri" w:hAnsi="Calibri"/>
          <w:color w:val="1F2937"/>
          <w:sz w:val="22"/>
        </w:rPr>
        <w:t>stage and document-flow status where the process is multi-step;</w:t>
      </w:r>
    </w:p>
    <w:p>
      <w:pPr>
        <w:pStyle w:val="ListBullet"/>
      </w:pPr>
      <w:r>
        <w:rPr>
          <w:rFonts w:ascii="Calibri" w:hAnsi="Calibri"/>
          <w:color w:val="1F2937"/>
          <w:sz w:val="22"/>
        </w:rPr>
        <w:t>stable machine-readable error code;</w:t>
      </w:r>
    </w:p>
    <w:p>
      <w:pPr>
        <w:pStyle w:val="ListBullet"/>
      </w:pPr>
      <w:r>
        <w:rPr>
          <w:rFonts w:ascii="Calibri" w:hAnsi="Calibri"/>
          <w:color w:val="1F2937"/>
          <w:sz w:val="22"/>
        </w:rPr>
        <w:t>user-safe message and technical correlation ID;</w:t>
      </w:r>
    </w:p>
    <w:p>
      <w:pPr>
        <w:pStyle w:val="ListBullet"/>
      </w:pPr>
      <w:r>
        <w:rPr>
          <w:rFonts w:ascii="Calibri" w:hAnsi="Calibri"/>
          <w:color w:val="1F2937"/>
          <w:sz w:val="22"/>
        </w:rPr>
        <w:t>retryability indicator where useful;</w:t>
      </w:r>
    </w:p>
    <w:p>
      <w:pPr>
        <w:pStyle w:val="ListBullet"/>
      </w:pPr>
      <w:r>
        <w:rPr>
          <w:rFonts w:ascii="Calibri" w:hAnsi="Calibri"/>
          <w:color w:val="1F2937"/>
          <w:sz w:val="22"/>
        </w:rPr>
        <w:t>warnings separated from blocking errors;</w:t>
      </w:r>
    </w:p>
    <w:p>
      <w:pPr>
        <w:pStyle w:val="ListBullet"/>
      </w:pPr>
      <w:r>
        <w:rPr>
          <w:rFonts w:ascii="Calibri" w:hAnsi="Calibri"/>
          <w:color w:val="1F2937"/>
          <w:sz w:val="22"/>
        </w:rPr>
        <w:t>no fabricated business identifiers.</w:t>
      </w:r>
    </w:p>
    <w:p>
      <w:pPr>
        <w:pStyle w:val="Heading2"/>
      </w:pPr>
      <w:r>
        <w:rPr>
          <w:rFonts w:ascii="Calibri" w:hAnsi="Calibri"/>
          <w:color w:val="2E74B5"/>
          <w:sz w:val="26"/>
        </w:rPr>
        <w:t>6.3 Idempotency</w:t>
      </w:r>
    </w:p>
    <w:p>
      <w:pPr>
        <w:widowControl/>
      </w:pPr>
      <w:r>
        <w:rPr>
          <w:rFonts w:ascii="Calibri" w:hAnsi="Calibri"/>
          <w:color w:val="1F2937"/>
          <w:sz w:val="22"/>
        </w:rPr>
        <w:t>Every command that can post or change a business document must be safely replayable. The external request ID must map to the original result. If the same ID arrives with a different payload, return a conflict and do not post. Where standard APIs do not support external idempotency directly, an approved persistence and locking design is required.</w:t>
      </w:r>
    </w:p>
    <w:p>
      <w:pPr>
        <w:pStyle w:val="Heading2"/>
      </w:pPr>
      <w:r>
        <w:rPr>
          <w:rFonts w:ascii="Calibri" w:hAnsi="Calibri"/>
          <w:color w:val="2E74B5"/>
          <w:sz w:val="26"/>
        </w:rPr>
        <w:t>6.4 Transactions</w:t>
      </w:r>
    </w:p>
    <w:p>
      <w:pPr>
        <w:pStyle w:val="ListBullet"/>
      </w:pPr>
      <w:r>
        <w:rPr>
          <w:rFonts w:ascii="Calibri" w:hAnsi="Calibri"/>
          <w:color w:val="1F2937"/>
          <w:sz w:val="22"/>
        </w:rPr>
        <w:t>API-02 and API-03 should be atomic for their defined SAP transaction scope.</w:t>
      </w:r>
    </w:p>
    <w:p>
      <w:pPr>
        <w:pStyle w:val="ListBullet"/>
      </w:pPr>
      <w:r>
        <w:rPr>
          <w:rFonts w:ascii="Calibri" w:hAnsi="Calibri"/>
          <w:color w:val="1F2937"/>
          <w:sz w:val="22"/>
        </w:rPr>
        <w:t>API-06 spans multiple SAP units of work and external/statutory actions; it must expose partial progress and safe resume.</w:t>
      </w:r>
    </w:p>
    <w:p>
      <w:pPr>
        <w:pStyle w:val="ListBullet"/>
      </w:pPr>
      <w:r>
        <w:rPr>
          <w:rFonts w:ascii="Calibri" w:hAnsi="Calibri"/>
          <w:color w:val="1F2937"/>
          <w:sz w:val="22"/>
        </w:rPr>
        <w:t>No design may commit a standard SAP document and then silently fail a separate custom-table write.</w:t>
      </w:r>
    </w:p>
    <w:p>
      <w:pPr>
        <w:pStyle w:val="ListBullet"/>
      </w:pPr>
      <w:r>
        <w:rPr>
          <w:rFonts w:ascii="Calibri" w:hAnsi="Calibri"/>
          <w:color w:val="1F2937"/>
          <w:sz w:val="22"/>
        </w:rPr>
        <w:t>Rollback and compensation behaviour must be explicit for every stage.</w:t>
      </w:r>
    </w:p>
    <w:p>
      <w:pPr>
        <w:pStyle w:val="Heading2"/>
      </w:pPr>
      <w:r>
        <w:rPr>
          <w:rFonts w:ascii="Calibri" w:hAnsi="Calibri"/>
          <w:color w:val="2E74B5"/>
          <w:sz w:val="26"/>
        </w:rPr>
        <w:t>6.5 Error handling</w:t>
      </w:r>
    </w:p>
    <w:p>
      <w:pPr>
        <w:widowControl/>
      </w:pPr>
      <w:r>
        <w:rPr>
          <w:rFonts w:ascii="Calibri" w:hAnsi="Calibri"/>
          <w:color w:val="1F2937"/>
          <w:sz w:val="22"/>
        </w:rPr>
        <w:t>The landscape must agree one error schema and HTTP mapping. At minimum distinguish:</w:t>
      </w:r>
    </w:p>
    <w:p>
      <w:pPr>
        <w:pStyle w:val="ListBullet"/>
      </w:pPr>
      <w:r>
        <w:rPr>
          <w:rFonts w:ascii="Calibri" w:hAnsi="Calibri"/>
          <w:color w:val="1F2937"/>
          <w:sz w:val="22"/>
        </w:rPr>
        <w:t>malformed request;</w:t>
      </w:r>
    </w:p>
    <w:p>
      <w:pPr>
        <w:pStyle w:val="ListBullet"/>
      </w:pPr>
      <w:r>
        <w:rPr>
          <w:rFonts w:ascii="Calibri" w:hAnsi="Calibri"/>
          <w:color w:val="1F2937"/>
          <w:sz w:val="22"/>
        </w:rPr>
        <w:t>unauthorised or forbidden organisational scope;</w:t>
      </w:r>
    </w:p>
    <w:p>
      <w:pPr>
        <w:pStyle w:val="ListBullet"/>
      </w:pPr>
      <w:r>
        <w:rPr>
          <w:rFonts w:ascii="Calibri" w:hAnsi="Calibri"/>
          <w:color w:val="1F2937"/>
          <w:sz w:val="22"/>
        </w:rPr>
        <w:t>business validation failure;</w:t>
      </w:r>
    </w:p>
    <w:p>
      <w:pPr>
        <w:pStyle w:val="ListBullet"/>
      </w:pPr>
      <w:r>
        <w:rPr>
          <w:rFonts w:ascii="Calibri" w:hAnsi="Calibri"/>
          <w:color w:val="1F2937"/>
          <w:sz w:val="22"/>
        </w:rPr>
        <w:t>duplicate or conflicting request;</w:t>
      </w:r>
    </w:p>
    <w:p>
      <w:pPr>
        <w:pStyle w:val="ListBullet"/>
      </w:pPr>
      <w:r>
        <w:rPr>
          <w:rFonts w:ascii="Calibri" w:hAnsi="Calibri"/>
          <w:color w:val="1F2937"/>
          <w:sz w:val="22"/>
        </w:rPr>
        <w:t>not found;</w:t>
      </w:r>
    </w:p>
    <w:p>
      <w:pPr>
        <w:pStyle w:val="ListBullet"/>
      </w:pPr>
      <w:r>
        <w:rPr>
          <w:rFonts w:ascii="Calibri" w:hAnsi="Calibri"/>
          <w:color w:val="1F2937"/>
          <w:sz w:val="22"/>
        </w:rPr>
        <w:t>lock or temporary unavailability;</w:t>
      </w:r>
    </w:p>
    <w:p>
      <w:pPr>
        <w:pStyle w:val="ListBullet"/>
      </w:pPr>
      <w:r>
        <w:rPr>
          <w:rFonts w:ascii="Calibri" w:hAnsi="Calibri"/>
          <w:color w:val="1F2937"/>
          <w:sz w:val="22"/>
        </w:rPr>
        <w:t>completed-with-warning;</w:t>
      </w:r>
    </w:p>
    <w:p>
      <w:pPr>
        <w:pStyle w:val="ListBullet"/>
      </w:pPr>
      <w:r>
        <w:rPr>
          <w:rFonts w:ascii="Calibri" w:hAnsi="Calibri"/>
          <w:color w:val="1F2937"/>
          <w:sz w:val="22"/>
        </w:rPr>
        <w:t>partial orchestration state;</w:t>
      </w:r>
    </w:p>
    <w:p>
      <w:pPr>
        <w:pStyle w:val="ListBullet"/>
      </w:pPr>
      <w:r>
        <w:rPr>
          <w:rFonts w:ascii="Calibri" w:hAnsi="Calibri"/>
          <w:color w:val="1F2937"/>
          <w:sz w:val="22"/>
        </w:rPr>
        <w:t>non-retryable statutory rejection.</w:t>
      </w:r>
    </w:p>
    <w:p>
      <w:pPr>
        <w:pStyle w:val="Heading2"/>
      </w:pPr>
      <w:r>
        <w:rPr>
          <w:rFonts w:ascii="Calibri" w:hAnsi="Calibri"/>
          <w:color w:val="2E74B5"/>
          <w:sz w:val="26"/>
        </w:rPr>
        <w:t>6.6 Security and audit</w:t>
      </w:r>
    </w:p>
    <w:p>
      <w:pPr>
        <w:pStyle w:val="ListBullet"/>
      </w:pPr>
      <w:r>
        <w:rPr>
          <w:rFonts w:ascii="Calibri" w:hAnsi="Calibri"/>
          <w:color w:val="1F2937"/>
          <w:sz w:val="22"/>
        </w:rPr>
        <w:t>Use standard SAP authorisation objects wherever available.</w:t>
      </w:r>
    </w:p>
    <w:p>
      <w:pPr>
        <w:pStyle w:val="ListBullet"/>
      </w:pPr>
      <w:r>
        <w:rPr>
          <w:rFonts w:ascii="Calibri" w:hAnsi="Calibri"/>
          <w:color w:val="1F2937"/>
          <w:sz w:val="22"/>
        </w:rPr>
        <w:t>Enforce plant, sales-area, depot and storage-location scope server-side.</w:t>
      </w:r>
    </w:p>
    <w:p>
      <w:pPr>
        <w:pStyle w:val="ListBullet"/>
      </w:pPr>
      <w:r>
        <w:rPr>
          <w:rFonts w:ascii="Calibri" w:hAnsi="Calibri"/>
          <w:color w:val="1F2937"/>
          <w:sz w:val="22"/>
        </w:rPr>
        <w:t>Audit request ID, correlation ID, caller, action, timestamps, document keys and before/after values for regulated changes.</w:t>
      </w:r>
    </w:p>
    <w:p>
      <w:pPr>
        <w:pStyle w:val="ListBullet"/>
      </w:pPr>
      <w:r>
        <w:rPr>
          <w:rFonts w:ascii="Calibri" w:hAnsi="Calibri"/>
          <w:color w:val="1F2937"/>
          <w:sz w:val="22"/>
        </w:rPr>
        <w:t>Keep secrets and statutory credentials in approved secure stores.</w:t>
      </w:r>
    </w:p>
    <w:p>
      <w:pPr>
        <w:pStyle w:val="ListBullet"/>
      </w:pPr>
      <w:r>
        <w:rPr>
          <w:rFonts w:ascii="Calibri" w:hAnsi="Calibri"/>
          <w:color w:val="1F2937"/>
          <w:sz w:val="22"/>
        </w:rPr>
        <w:t>Mask personal data and sensitive statutory payloads in operational logs.</w:t>
      </w:r>
    </w:p>
    <w:p>
      <w:r>
        <w:br w:type="page"/>
      </w:r>
    </w:p>
    <w:p>
      <w:pPr>
        <w:pStyle w:val="Heading1"/>
      </w:pPr>
      <w:r>
        <w:rPr>
          <w:rFonts w:ascii="Calibri" w:hAnsi="Calibri"/>
          <w:color w:val="2E74B5"/>
          <w:sz w:val="32"/>
        </w:rPr>
        <w:t>7. Detailed API proposals</w:t>
      </w:r>
    </w:p>
    <w:p>
      <w:pPr>
        <w:pStyle w:val="Heading2"/>
      </w:pPr>
      <w:r>
        <w:rPr>
          <w:rFonts w:ascii="Calibri" w:hAnsi="Calibri"/>
          <w:color w:val="2E74B5"/>
          <w:sz w:val="26"/>
        </w:rPr>
        <w:t>API-01 - Check MIGO / receipt position</w:t>
      </w:r>
    </w:p>
    <w:p>
      <w:pPr>
        <w:widowControl/>
      </w:pPr>
      <w:r>
        <w:rPr>
          <w:rFonts w:ascii="Calibri" w:hAnsi="Calibri"/>
          <w:b/>
          <w:color w:val="1F2937"/>
          <w:sz w:val="22"/>
        </w:rPr>
        <w:t>Purpose:</w:t>
      </w:r>
      <w:r>
        <w:rPr>
          <w:rFonts w:ascii="Calibri" w:hAnsi="Calibri"/>
          <w:color w:val="1F2937"/>
          <w:sz w:val="22"/>
        </w:rPr>
        <w:t xml:space="preserve"> Return the SAP-side receipt position for a referenced inbound business document. This is not the general Commerce pending-order dashboard API.</w:t>
      </w:r>
    </w:p>
    <w:p>
      <w:pPr>
        <w:widowControl/>
      </w:pPr>
      <w:r>
        <w:rPr>
          <w:rFonts w:ascii="Calibri" w:hAnsi="Calibri"/>
          <w:b/>
          <w:color w:val="1F2937"/>
          <w:sz w:val="22"/>
        </w:rPr>
        <w:t>Candidate class:</w:t>
      </w:r>
      <w:r>
        <w:rPr>
          <w:rFonts w:ascii="Calibri" w:hAnsi="Calibri"/>
          <w:color w:val="1F2937"/>
          <w:sz w:val="22"/>
        </w:rPr>
        <w:t xml:space="preserve"> C - composite read.</w:t>
      </w:r>
    </w:p>
    <w:p>
      <w:pPr>
        <w:widowControl/>
      </w:pPr>
      <w:r>
        <w:rPr>
          <w:rFonts w:ascii="Calibri" w:hAnsi="Calibri"/>
          <w:b/>
          <w:color w:val="1F2937"/>
          <w:sz w:val="22"/>
        </w:rPr>
        <w:t>Candidate inputs</w:t>
      </w:r>
    </w:p>
    <w:p>
      <w:pPr>
        <w:pStyle w:val="ListBullet"/>
      </w:pPr>
      <w:r>
        <w:rPr>
          <w:rFonts w:ascii="Calibri" w:hAnsi="Calibri"/>
          <w:color w:val="1F2937"/>
          <w:sz w:val="22"/>
        </w:rPr>
        <w:t>plant, mandatory;</w:t>
      </w:r>
    </w:p>
    <w:p>
      <w:pPr>
        <w:pStyle w:val="ListBullet"/>
      </w:pPr>
      <w:r>
        <w:rPr>
          <w:rFonts w:ascii="Calibri" w:hAnsi="Calibri"/>
          <w:color w:val="1F2937"/>
          <w:sz w:val="22"/>
        </w:rPr>
        <w:t>posting or document date range, mandatory and bounded;</w:t>
      </w:r>
    </w:p>
    <w:p>
      <w:pPr>
        <w:pStyle w:val="ListBullet"/>
      </w:pPr>
      <w:r>
        <w:rPr>
          <w:rFonts w:ascii="Calibri" w:hAnsi="Calibri"/>
          <w:color w:val="1F2937"/>
          <w:sz w:val="22"/>
        </w:rPr>
        <w:t>reference document and item, optional;</w:t>
      </w:r>
    </w:p>
    <w:p>
      <w:pPr>
        <w:pStyle w:val="ListBullet"/>
      </w:pPr>
      <w:r>
        <w:rPr>
          <w:rFonts w:ascii="Calibri" w:hAnsi="Calibri"/>
          <w:color w:val="1F2937"/>
          <w:sz w:val="22"/>
        </w:rPr>
        <w:t>status filter, optional;</w:t>
      </w:r>
    </w:p>
    <w:p>
      <w:pPr>
        <w:pStyle w:val="ListBullet"/>
      </w:pPr>
      <w:r>
        <w:rPr>
          <w:rFonts w:ascii="Calibri" w:hAnsi="Calibri"/>
          <w:color w:val="1F2937"/>
          <w:sz w:val="22"/>
        </w:rPr>
        <w:t>pagination and sort fields.</w:t>
      </w:r>
    </w:p>
    <w:p>
      <w:pPr>
        <w:widowControl/>
      </w:pPr>
      <w:r>
        <w:rPr>
          <w:rFonts w:ascii="Calibri" w:hAnsi="Calibri"/>
          <w:b/>
          <w:color w:val="1F2937"/>
          <w:sz w:val="22"/>
        </w:rPr>
        <w:t>Candidate outputs</w:t>
      </w:r>
    </w:p>
    <w:p>
      <w:pPr>
        <w:pStyle w:val="ListBullet"/>
      </w:pPr>
      <w:r>
        <w:rPr>
          <w:rFonts w:ascii="Calibri" w:hAnsi="Calibri"/>
          <w:color w:val="1F2937"/>
          <w:sz w:val="22"/>
        </w:rPr>
        <w:t>reference document and item;</w:t>
      </w:r>
    </w:p>
    <w:p>
      <w:pPr>
        <w:pStyle w:val="ListBullet"/>
      </w:pPr>
      <w:r>
        <w:rPr>
          <w:rFonts w:ascii="Calibri" w:hAnsi="Calibri"/>
          <w:color w:val="1F2937"/>
          <w:sz w:val="22"/>
        </w:rPr>
        <w:t>material, plant and storage location;</w:t>
      </w:r>
    </w:p>
    <w:p>
      <w:pPr>
        <w:pStyle w:val="ListBullet"/>
      </w:pPr>
      <w:r>
        <w:rPr>
          <w:rFonts w:ascii="Calibri" w:hAnsi="Calibri"/>
          <w:color w:val="1F2937"/>
          <w:sz w:val="22"/>
        </w:rPr>
        <w:t>ordered or expected quantity;</w:t>
      </w:r>
    </w:p>
    <w:p>
      <w:pPr>
        <w:pStyle w:val="ListBullet"/>
      </w:pPr>
      <w:r>
        <w:rPr>
          <w:rFonts w:ascii="Calibri" w:hAnsi="Calibri"/>
          <w:color w:val="1F2937"/>
          <w:sz w:val="22"/>
        </w:rPr>
        <w:t>posted quantity and pending quantity;</w:t>
      </w:r>
    </w:p>
    <w:p>
      <w:pPr>
        <w:pStyle w:val="ListBullet"/>
      </w:pPr>
      <w:r>
        <w:rPr>
          <w:rFonts w:ascii="Calibri" w:hAnsi="Calibri"/>
          <w:color w:val="1F2937"/>
          <w:sz w:val="22"/>
        </w:rPr>
        <w:t>UOM;</w:t>
      </w:r>
    </w:p>
    <w:p>
      <w:pPr>
        <w:pStyle w:val="ListBullet"/>
      </w:pPr>
      <w:r>
        <w:rPr>
          <w:rFonts w:ascii="Calibri" w:hAnsi="Calibri"/>
          <w:color w:val="1F2937"/>
          <w:sz w:val="22"/>
        </w:rPr>
        <w:t>receipt status: Pending, Partial or Complete;</w:t>
      </w:r>
    </w:p>
    <w:p>
      <w:pPr>
        <w:pStyle w:val="ListBullet"/>
      </w:pPr>
      <w:r>
        <w:rPr>
          <w:rFonts w:ascii="Calibri" w:hAnsi="Calibri"/>
          <w:color w:val="1F2937"/>
          <w:sz w:val="22"/>
        </w:rPr>
        <w:t>related SAP material-document keys.</w:t>
      </w:r>
    </w:p>
    <w:p>
      <w:pPr>
        <w:widowControl/>
      </w:pPr>
      <w:r>
        <w:rPr>
          <w:rFonts w:ascii="Calibri" w:hAnsi="Calibri"/>
          <w:b/>
          <w:color w:val="1F2937"/>
          <w:sz w:val="22"/>
        </w:rPr>
        <w:t>Rules</w:t>
      </w:r>
    </w:p>
    <w:p>
      <w:pPr>
        <w:pStyle w:val="ListBullet"/>
      </w:pPr>
      <w:r>
        <w:rPr>
          <w:rFonts w:ascii="Calibri" w:hAnsi="Calibri"/>
          <w:color w:val="1F2937"/>
          <w:sz w:val="22"/>
        </w:rPr>
        <w:t>pending quantity is derived, never stored or fabricated for convenience;</w:t>
      </w:r>
    </w:p>
    <w:p>
      <w:pPr>
        <w:pStyle w:val="ListBullet"/>
      </w:pPr>
      <w:r>
        <w:rPr>
          <w:rFonts w:ascii="Calibri" w:hAnsi="Calibri"/>
          <w:color w:val="1F2937"/>
          <w:sz w:val="22"/>
        </w:rPr>
        <w:t>partial receipts remain visible until fully received;</w:t>
      </w:r>
    </w:p>
    <w:p>
      <w:pPr>
        <w:pStyle w:val="ListBullet"/>
      </w:pPr>
      <w:r>
        <w:rPr>
          <w:rFonts w:ascii="Calibri" w:hAnsi="Calibri"/>
          <w:color w:val="1F2937"/>
          <w:sz w:val="22"/>
        </w:rPr>
        <w:t>MRN is not generated by this API;</w:t>
      </w:r>
    </w:p>
    <w:p>
      <w:pPr>
        <w:pStyle w:val="ListBullet"/>
      </w:pPr>
      <w:r>
        <w:rPr>
          <w:rFonts w:ascii="Calibri" w:hAnsi="Calibri"/>
          <w:color w:val="1F2937"/>
          <w:sz w:val="22"/>
        </w:rPr>
        <w:t>use approved document flow and quantity semantics;</w:t>
      </w:r>
    </w:p>
    <w:p>
      <w:pPr>
        <w:pStyle w:val="ListBullet"/>
      </w:pPr>
      <w:r>
        <w:rPr>
          <w:rFonts w:ascii="Calibri" w:hAnsi="Calibri"/>
          <w:color w:val="1F2937"/>
          <w:sz w:val="22"/>
        </w:rPr>
        <w:t>define date basis and reversal handling.</w:t>
      </w:r>
    </w:p>
    <w:p>
      <w:pPr>
        <w:widowControl/>
      </w:pPr>
      <w:r>
        <w:rPr>
          <w:rFonts w:ascii="Calibri" w:hAnsi="Calibri"/>
          <w:b/>
          <w:color w:val="1F2937"/>
          <w:sz w:val="22"/>
        </w:rPr>
        <w:t>Primary validations:</w:t>
      </w:r>
      <w:r>
        <w:rPr>
          <w:rFonts w:ascii="Calibri" w:hAnsi="Calibri"/>
          <w:color w:val="1F2937"/>
          <w:sz w:val="22"/>
        </w:rPr>
        <w:t xml:space="preserve"> V-01, V-05, V-09, V-12 and V-27.</w:t>
      </w:r>
    </w:p>
    <w:p>
      <w:pPr>
        <w:pStyle w:val="Heading2"/>
      </w:pPr>
      <w:r>
        <w:rPr>
          <w:rFonts w:ascii="Calibri" w:hAnsi="Calibri"/>
          <w:color w:val="2E74B5"/>
          <w:sz w:val="26"/>
        </w:rPr>
        <w:t>API-02 - Submit MIGO</w:t>
      </w:r>
    </w:p>
    <w:p>
      <w:pPr>
        <w:widowControl/>
      </w:pPr>
      <w:r>
        <w:rPr>
          <w:rFonts w:ascii="Calibri" w:hAnsi="Calibri"/>
          <w:b/>
          <w:color w:val="1F2937"/>
          <w:sz w:val="22"/>
        </w:rPr>
        <w:t>Purpose:</w:t>
      </w:r>
      <w:r>
        <w:rPr>
          <w:rFonts w:ascii="Calibri" w:hAnsi="Calibri"/>
          <w:color w:val="1F2937"/>
          <w:sz w:val="22"/>
        </w:rPr>
        <w:t xml:space="preserve"> Post a goods receipt and return the authoritative SAP material-document key.</w:t>
      </w:r>
    </w:p>
    <w:p>
      <w:pPr>
        <w:widowControl/>
      </w:pPr>
      <w:r>
        <w:rPr>
          <w:rFonts w:ascii="Calibri" w:hAnsi="Calibri"/>
          <w:b/>
          <w:color w:val="1F2937"/>
          <w:sz w:val="22"/>
        </w:rPr>
        <w:t>Candidate class:</w:t>
      </w:r>
      <w:r>
        <w:rPr>
          <w:rFonts w:ascii="Calibri" w:hAnsi="Calibri"/>
          <w:color w:val="1F2937"/>
          <w:sz w:val="22"/>
        </w:rPr>
        <w:t xml:space="preserve"> S - standard posting with integration wrapper.</w:t>
      </w:r>
    </w:p>
    <w:p>
      <w:pPr>
        <w:widowControl/>
      </w:pPr>
      <w:r>
        <w:rPr>
          <w:rFonts w:ascii="Calibri" w:hAnsi="Calibri"/>
          <w:b/>
          <w:color w:val="1F2937"/>
          <w:sz w:val="22"/>
        </w:rPr>
        <w:t>Candidate SAP mechanisms:</w:t>
      </w:r>
      <w:r>
        <w:rPr>
          <w:rFonts w:ascii="Calibri" w:hAnsi="Calibri"/>
          <w:color w:val="1F2937"/>
          <w:sz w:val="22"/>
        </w:rPr>
        <w:t xml:space="preserve"> </w:t>
      </w:r>
      <w:r>
        <w:rPr>
          <w:rFonts w:ascii="Consolas" w:hAnsi="Consolas"/>
          <w:color w:val="1F4D78"/>
          <w:sz w:val="20"/>
        </w:rPr>
        <w:t>BAPI_GOODSMVT_CREATE</w:t>
      </w:r>
      <w:r>
        <w:rPr>
          <w:rFonts w:ascii="Calibri" w:hAnsi="Calibri"/>
          <w:color w:val="1F2937"/>
          <w:sz w:val="22"/>
        </w:rPr>
        <w:t xml:space="preserve"> or a permitted released material-document API, subject to release inspection.</w:t>
      </w:r>
    </w:p>
    <w:p>
      <w:pPr>
        <w:widowControl/>
      </w:pPr>
      <w:r>
        <w:rPr>
          <w:rFonts w:ascii="Calibri" w:hAnsi="Calibri"/>
          <w:b/>
          <w:color w:val="1F2937"/>
          <w:sz w:val="22"/>
        </w:rPr>
        <w:t>Candidate inputs</w:t>
      </w:r>
    </w:p>
    <w:p>
      <w:pPr>
        <w:pStyle w:val="ListBullet"/>
      </w:pPr>
      <w:r>
        <w:rPr>
          <w:rFonts w:ascii="Calibri" w:hAnsi="Calibri"/>
          <w:color w:val="1F2937"/>
          <w:sz w:val="22"/>
        </w:rPr>
        <w:t>reference document and item;</w:t>
      </w:r>
    </w:p>
    <w:p>
      <w:pPr>
        <w:pStyle w:val="ListBullet"/>
      </w:pPr>
      <w:r>
        <w:rPr>
          <w:rFonts w:ascii="Calibri" w:hAnsi="Calibri"/>
          <w:color w:val="1F2937"/>
          <w:sz w:val="22"/>
        </w:rPr>
        <w:t>posting date and document date;</w:t>
      </w:r>
    </w:p>
    <w:p>
      <w:pPr>
        <w:pStyle w:val="ListBullet"/>
      </w:pPr>
      <w:r>
        <w:rPr>
          <w:rFonts w:ascii="Calibri" w:hAnsi="Calibri"/>
          <w:color w:val="1F2937"/>
          <w:sz w:val="22"/>
        </w:rPr>
        <w:t>plant and storage location;</w:t>
      </w:r>
    </w:p>
    <w:p>
      <w:pPr>
        <w:pStyle w:val="ListBullet"/>
      </w:pPr>
      <w:r>
        <w:rPr>
          <w:rFonts w:ascii="Calibri" w:hAnsi="Calibri"/>
          <w:color w:val="1F2937"/>
          <w:sz w:val="22"/>
        </w:rPr>
        <w:t>material, quantity and UOM;</w:t>
      </w:r>
    </w:p>
    <w:p>
      <w:pPr>
        <w:pStyle w:val="ListBullet"/>
      </w:pPr>
      <w:r>
        <w:rPr>
          <w:rFonts w:ascii="Calibri" w:hAnsi="Calibri"/>
          <w:color w:val="1F2937"/>
          <w:sz w:val="22"/>
        </w:rPr>
        <w:t>batch where required;</w:t>
      </w:r>
    </w:p>
    <w:p>
      <w:pPr>
        <w:pStyle w:val="ListBullet"/>
      </w:pPr>
      <w:r>
        <w:rPr>
          <w:rFonts w:ascii="Calibri" w:hAnsi="Calibri"/>
          <w:color w:val="1F2937"/>
          <w:sz w:val="22"/>
        </w:rPr>
        <w:t>challan or external reference where approved;</w:t>
      </w:r>
    </w:p>
    <w:p>
      <w:pPr>
        <w:pStyle w:val="ListBullet"/>
      </w:pPr>
      <w:r>
        <w:rPr>
          <w:rFonts w:ascii="Calibri" w:hAnsi="Calibri"/>
          <w:color w:val="1F2937"/>
          <w:sz w:val="22"/>
        </w:rPr>
        <w:t>external request ID and correlation ID.</w:t>
      </w:r>
    </w:p>
    <w:p>
      <w:pPr>
        <w:widowControl/>
      </w:pPr>
      <w:r>
        <w:rPr>
          <w:rFonts w:ascii="Calibri" w:hAnsi="Calibri"/>
          <w:b/>
          <w:color w:val="1F2937"/>
          <w:sz w:val="22"/>
        </w:rPr>
        <w:t>Candidate outputs</w:t>
      </w:r>
    </w:p>
    <w:p>
      <w:pPr>
        <w:pStyle w:val="ListBullet"/>
      </w:pPr>
      <w:r>
        <w:rPr>
          <w:rFonts w:ascii="Calibri" w:hAnsi="Calibri"/>
          <w:color w:val="1F2937"/>
          <w:sz w:val="22"/>
        </w:rPr>
        <w:t>material document number and fiscal year;</w:t>
      </w:r>
    </w:p>
    <w:p>
      <w:pPr>
        <w:pStyle w:val="ListBullet"/>
      </w:pPr>
      <w:r>
        <w:rPr>
          <w:rFonts w:ascii="Calibri" w:hAnsi="Calibri"/>
          <w:color w:val="1F2937"/>
          <w:sz w:val="22"/>
        </w:rPr>
        <w:t>posting status and warnings;</w:t>
      </w:r>
    </w:p>
    <w:p>
      <w:pPr>
        <w:pStyle w:val="ListBullet"/>
      </w:pPr>
      <w:r>
        <w:rPr>
          <w:rFonts w:ascii="Calibri" w:hAnsi="Calibri"/>
          <w:color w:val="1F2937"/>
          <w:sz w:val="22"/>
        </w:rPr>
        <w:t>correlation ID.</w:t>
      </w:r>
    </w:p>
    <w:p>
      <w:pPr>
        <w:widowControl/>
      </w:pPr>
      <w:r>
        <w:rPr>
          <w:rFonts w:ascii="Calibri" w:hAnsi="Calibri"/>
          <w:b/>
          <w:color w:val="1F2937"/>
          <w:sz w:val="22"/>
        </w:rPr>
        <w:t>Rules</w:t>
      </w:r>
    </w:p>
    <w:p>
      <w:pPr>
        <w:pStyle w:val="ListBullet"/>
      </w:pPr>
      <w:r>
        <w:rPr>
          <w:rFonts w:ascii="Calibri" w:hAnsi="Calibri"/>
          <w:color w:val="1F2937"/>
          <w:sz w:val="22"/>
        </w:rPr>
        <w:t>validate quantities, UOM, batch, plant and storage location before posting;</w:t>
      </w:r>
    </w:p>
    <w:p>
      <w:pPr>
        <w:pStyle w:val="ListBullet"/>
      </w:pPr>
      <w:r>
        <w:rPr>
          <w:rFonts w:ascii="Calibri" w:hAnsi="Calibri"/>
          <w:color w:val="1F2937"/>
          <w:sz w:val="22"/>
        </w:rPr>
        <w:t>no partial commit within the API transaction;</w:t>
      </w:r>
    </w:p>
    <w:p>
      <w:pPr>
        <w:pStyle w:val="ListBullet"/>
      </w:pPr>
      <w:r>
        <w:rPr>
          <w:rFonts w:ascii="Calibri" w:hAnsi="Calibri"/>
          <w:color w:val="1F2937"/>
          <w:sz w:val="22"/>
        </w:rPr>
        <w:t>safe duplicate replay is mandatory;</w:t>
      </w:r>
    </w:p>
    <w:p>
      <w:pPr>
        <w:pStyle w:val="ListBullet"/>
      </w:pPr>
      <w:r>
        <w:rPr>
          <w:rFonts w:ascii="Calibri" w:hAnsi="Calibri"/>
          <w:color w:val="1F2937"/>
          <w:sz w:val="22"/>
        </w:rPr>
        <w:t>reverse or error documents must not be counted as successful receipt;</w:t>
      </w:r>
    </w:p>
    <w:p>
      <w:pPr>
        <w:pStyle w:val="ListBullet"/>
      </w:pPr>
      <w:r>
        <w:rPr>
          <w:rFonts w:ascii="Calibri" w:hAnsi="Calibri"/>
          <w:color w:val="1F2937"/>
          <w:sz w:val="22"/>
        </w:rPr>
        <w:t xml:space="preserve">do not create an </w:t>
      </w:r>
      <w:r>
        <w:rPr>
          <w:rFonts w:ascii="Consolas" w:hAnsi="Consolas"/>
          <w:color w:val="1F4D78"/>
          <w:sz w:val="20"/>
        </w:rPr>
        <w:t>MRN-&lt;material document&gt;</w:t>
      </w:r>
      <w:r>
        <w:rPr>
          <w:rFonts w:ascii="Calibri" w:hAnsi="Calibri"/>
          <w:color w:val="1F2937"/>
          <w:sz w:val="22"/>
        </w:rPr>
        <w:t xml:space="preserve"> value; MRN is a Datasphere-owned concept in the latest source model.</w:t>
      </w:r>
    </w:p>
    <w:p>
      <w:pPr>
        <w:widowControl/>
      </w:pPr>
      <w:r>
        <w:rPr>
          <w:rFonts w:ascii="Calibri" w:hAnsi="Calibri"/>
          <w:b/>
          <w:color w:val="1F2937"/>
          <w:sz w:val="22"/>
        </w:rPr>
        <w:t>Primary validations:</w:t>
      </w:r>
      <w:r>
        <w:rPr>
          <w:rFonts w:ascii="Calibri" w:hAnsi="Calibri"/>
          <w:color w:val="1F2937"/>
          <w:sz w:val="22"/>
        </w:rPr>
        <w:t xml:space="preserve"> V-01, V-05, V-09, V-12, V-20, V-21 and V-27.</w:t>
      </w:r>
    </w:p>
    <w:p>
      <w:pPr>
        <w:pStyle w:val="Heading2"/>
      </w:pPr>
      <w:r>
        <w:rPr>
          <w:rFonts w:ascii="Calibri" w:hAnsi="Calibri"/>
          <w:color w:val="2E74B5"/>
          <w:sz w:val="26"/>
        </w:rPr>
        <w:t>API-03 - Create DI / outbound delivery</w:t>
      </w:r>
    </w:p>
    <w:p>
      <w:pPr>
        <w:widowControl/>
      </w:pPr>
      <w:r>
        <w:rPr>
          <w:rFonts w:ascii="Calibri" w:hAnsi="Calibri"/>
          <w:b/>
          <w:color w:val="1F2937"/>
          <w:sz w:val="22"/>
        </w:rPr>
        <w:t>Purpose:</w:t>
      </w:r>
      <w:r>
        <w:rPr>
          <w:rFonts w:ascii="Calibri" w:hAnsi="Calibri"/>
          <w:color w:val="1F2937"/>
          <w:sz w:val="22"/>
        </w:rPr>
        <w:t xml:space="preserve"> Create the outbound delivery represented by “DI” in the C&amp;F process.</w:t>
      </w:r>
    </w:p>
    <w:p>
      <w:pPr>
        <w:widowControl/>
      </w:pPr>
      <w:r>
        <w:rPr>
          <w:rFonts w:ascii="Calibri" w:hAnsi="Calibri"/>
          <w:b/>
          <w:color w:val="1F2937"/>
          <w:sz w:val="22"/>
        </w:rPr>
        <w:t>Candidate class:</w:t>
      </w:r>
      <w:r>
        <w:rPr>
          <w:rFonts w:ascii="Calibri" w:hAnsi="Calibri"/>
          <w:color w:val="1F2937"/>
          <w:sz w:val="22"/>
        </w:rPr>
        <w:t xml:space="preserve"> S - standard delivery creation with approved extension logic.</w:t>
      </w:r>
    </w:p>
    <w:p>
      <w:pPr>
        <w:widowControl/>
      </w:pPr>
      <w:r>
        <w:rPr>
          <w:rFonts w:ascii="Calibri" w:hAnsi="Calibri"/>
          <w:b/>
          <w:color w:val="1F2937"/>
          <w:sz w:val="22"/>
        </w:rPr>
        <w:t>Candidate SAP mechanisms:</w:t>
      </w:r>
      <w:r>
        <w:rPr>
          <w:rFonts w:ascii="Calibri" w:hAnsi="Calibri"/>
          <w:color w:val="1F2937"/>
          <w:sz w:val="22"/>
        </w:rPr>
        <w:t xml:space="preserve"> released outbound-delivery API or the appropriate sales-order/STO delivery BAPI. Selection depends on V-05.</w:t>
      </w:r>
    </w:p>
    <w:p>
      <w:pPr>
        <w:widowControl/>
      </w:pPr>
      <w:r>
        <w:rPr>
          <w:rFonts w:ascii="Calibri" w:hAnsi="Calibri"/>
          <w:b/>
          <w:color w:val="1F2937"/>
          <w:sz w:val="22"/>
        </w:rPr>
        <w:t>Candidate inputs</w:t>
      </w:r>
    </w:p>
    <w:p>
      <w:pPr>
        <w:pStyle w:val="ListBullet"/>
      </w:pPr>
      <w:r>
        <w:rPr>
          <w:rFonts w:ascii="Calibri" w:hAnsi="Calibri"/>
          <w:color w:val="1F2937"/>
          <w:sz w:val="22"/>
        </w:rPr>
        <w:t>predecessor document and item;</w:t>
      </w:r>
    </w:p>
    <w:p>
      <w:pPr>
        <w:pStyle w:val="ListBullet"/>
      </w:pPr>
      <w:r>
        <w:rPr>
          <w:rFonts w:ascii="Calibri" w:hAnsi="Calibri"/>
          <w:color w:val="1F2937"/>
          <w:sz w:val="22"/>
        </w:rPr>
        <w:t>shipping point and requested dates;</w:t>
      </w:r>
    </w:p>
    <w:p>
      <w:pPr>
        <w:pStyle w:val="ListBullet"/>
      </w:pPr>
      <w:r>
        <w:rPr>
          <w:rFonts w:ascii="Calibri" w:hAnsi="Calibri"/>
          <w:color w:val="1F2937"/>
          <w:sz w:val="22"/>
        </w:rPr>
        <w:t>one storage location for the delivery scope;</w:t>
      </w:r>
    </w:p>
    <w:p>
      <w:pPr>
        <w:pStyle w:val="ListBullet"/>
      </w:pPr>
      <w:r>
        <w:rPr>
          <w:rFonts w:ascii="Calibri" w:hAnsi="Calibri"/>
          <w:color w:val="1F2937"/>
          <w:sz w:val="22"/>
        </w:rPr>
        <w:t>material, quantity, UOM and batch allocations if creation-time batch entry is approved;</w:t>
      </w:r>
    </w:p>
    <w:p>
      <w:pPr>
        <w:pStyle w:val="ListBullet"/>
      </w:pPr>
      <w:r>
        <w:rPr>
          <w:rFonts w:ascii="Calibri" w:hAnsi="Calibri"/>
          <w:color w:val="1F2937"/>
          <w:sz w:val="22"/>
        </w:rPr>
        <w:t>vehicle, driver and transporter only if the SAP document ownership is confirmed;</w:t>
      </w:r>
    </w:p>
    <w:p>
      <w:pPr>
        <w:pStyle w:val="ListBullet"/>
      </w:pPr>
      <w:r>
        <w:rPr>
          <w:rFonts w:ascii="Calibri" w:hAnsi="Calibri"/>
          <w:color w:val="1F2937"/>
          <w:sz w:val="22"/>
        </w:rPr>
        <w:t>external request ID and correlation ID.</w:t>
      </w:r>
    </w:p>
    <w:p>
      <w:pPr>
        <w:widowControl/>
      </w:pPr>
      <w:r>
        <w:rPr>
          <w:rFonts w:ascii="Calibri" w:hAnsi="Calibri"/>
          <w:b/>
          <w:color w:val="1F2937"/>
          <w:sz w:val="22"/>
        </w:rPr>
        <w:t>Candidate outputs</w:t>
      </w:r>
    </w:p>
    <w:p>
      <w:pPr>
        <w:pStyle w:val="ListBullet"/>
      </w:pPr>
      <w:r>
        <w:rPr>
          <w:rFonts w:ascii="Calibri" w:hAnsi="Calibri"/>
          <w:color w:val="1F2937"/>
          <w:sz w:val="22"/>
        </w:rPr>
        <w:t>outbound-delivery number;</w:t>
      </w:r>
    </w:p>
    <w:p>
      <w:pPr>
        <w:pStyle w:val="ListBullet"/>
      </w:pPr>
      <w:r>
        <w:rPr>
          <w:rFonts w:ascii="Calibri" w:hAnsi="Calibri"/>
          <w:color w:val="1F2937"/>
          <w:sz w:val="22"/>
        </w:rPr>
        <w:t>created items and quantities;</w:t>
      </w:r>
    </w:p>
    <w:p>
      <w:pPr>
        <w:pStyle w:val="ListBullet"/>
      </w:pPr>
      <w:r>
        <w:rPr>
          <w:rFonts w:ascii="Calibri" w:hAnsi="Calibri"/>
          <w:color w:val="1F2937"/>
          <w:sz w:val="22"/>
        </w:rPr>
        <w:t>document status and warnings.</w:t>
      </w:r>
    </w:p>
    <w:p>
      <w:pPr>
        <w:widowControl/>
      </w:pPr>
      <w:r>
        <w:rPr>
          <w:rFonts w:ascii="Calibri" w:hAnsi="Calibri"/>
          <w:b/>
          <w:color w:val="1F2937"/>
          <w:sz w:val="22"/>
        </w:rPr>
        <w:t>Rules</w:t>
      </w:r>
    </w:p>
    <w:p>
      <w:pPr>
        <w:pStyle w:val="ListBullet"/>
      </w:pPr>
      <w:r>
        <w:rPr>
          <w:rFonts w:ascii="Calibri" w:hAnsi="Calibri"/>
          <w:color w:val="1F2937"/>
          <w:sz w:val="22"/>
        </w:rPr>
        <w:t>DI means outbound delivery; DI number means delivery number;</w:t>
      </w:r>
    </w:p>
    <w:p>
      <w:pPr>
        <w:pStyle w:val="ListBullet"/>
      </w:pPr>
      <w:r>
        <w:rPr>
          <w:rFonts w:ascii="Calibri" w:hAnsi="Calibri"/>
          <w:color w:val="1F2937"/>
          <w:sz w:val="22"/>
        </w:rPr>
        <w:t>one DI/invoice uses one storage location;</w:t>
      </w:r>
    </w:p>
    <w:p>
      <w:pPr>
        <w:pStyle w:val="ListBullet"/>
      </w:pPr>
      <w:r>
        <w:rPr>
          <w:rFonts w:ascii="Calibri" w:hAnsi="Calibri"/>
          <w:color w:val="1F2937"/>
          <w:sz w:val="22"/>
        </w:rPr>
        <w:t>multiple batches may be used within that storage location;</w:t>
      </w:r>
    </w:p>
    <w:p>
      <w:pPr>
        <w:pStyle w:val="ListBullet"/>
      </w:pPr>
      <w:r>
        <w:rPr>
          <w:rFonts w:ascii="Calibri" w:hAnsi="Calibri"/>
          <w:color w:val="1F2937"/>
          <w:sz w:val="22"/>
        </w:rPr>
        <w:t>batch quantities must sum exactly to DI quantity;</w:t>
      </w:r>
    </w:p>
    <w:p>
      <w:pPr>
        <w:pStyle w:val="ListBullet"/>
      </w:pPr>
      <w:r>
        <w:rPr>
          <w:rFonts w:ascii="Calibri" w:hAnsi="Calibri"/>
          <w:color w:val="1F2937"/>
          <w:sz w:val="22"/>
        </w:rPr>
        <w:t>driver mobile is mandatory when documents are sent by SMS;</w:t>
      </w:r>
    </w:p>
    <w:p>
      <w:pPr>
        <w:pStyle w:val="ListBullet"/>
      </w:pPr>
      <w:r>
        <w:rPr>
          <w:rFonts w:ascii="Calibri" w:hAnsi="Calibri"/>
          <w:color w:val="1F2937"/>
          <w:sz w:val="22"/>
        </w:rPr>
        <w:t>stock, route and freight blocking behaviour remains a functional decision;</w:t>
      </w:r>
    </w:p>
    <w:p>
      <w:pPr>
        <w:pStyle w:val="ListBullet"/>
      </w:pPr>
      <w:r>
        <w:rPr>
          <w:rFonts w:ascii="Calibri" w:hAnsi="Calibri"/>
          <w:color w:val="1F2937"/>
          <w:sz w:val="22"/>
        </w:rPr>
        <w:t>logistics attributes must not be placed in an ungoverned custom table;</w:t>
      </w:r>
    </w:p>
    <w:p>
      <w:pPr>
        <w:pStyle w:val="ListBullet"/>
      </w:pPr>
      <w:r>
        <w:rPr>
          <w:rFonts w:ascii="Calibri" w:hAnsi="Calibri"/>
          <w:color w:val="1F2937"/>
          <w:sz w:val="22"/>
        </w:rPr>
        <w:t>if vehicle/driver belong to shipment, delivery creation must not pretend otherwise.</w:t>
      </w:r>
    </w:p>
    <w:p>
      <w:pPr>
        <w:widowControl/>
      </w:pPr>
      <w:r>
        <w:rPr>
          <w:rFonts w:ascii="Calibri" w:hAnsi="Calibri"/>
          <w:b/>
          <w:color w:val="1F2937"/>
          <w:sz w:val="22"/>
        </w:rPr>
        <w:t>Primary validations:</w:t>
      </w:r>
      <w:r>
        <w:rPr>
          <w:rFonts w:ascii="Calibri" w:hAnsi="Calibri"/>
          <w:color w:val="1F2937"/>
          <w:sz w:val="22"/>
        </w:rPr>
        <w:t xml:space="preserve"> V-01, V-05, V-07, V-08, V-11, V-12, V-21, V-26 and V-27.</w:t>
      </w:r>
    </w:p>
    <w:p>
      <w:pPr>
        <w:pStyle w:val="Heading2"/>
      </w:pPr>
      <w:r>
        <w:rPr>
          <w:rFonts w:ascii="Calibri" w:hAnsi="Calibri"/>
          <w:color w:val="2E74B5"/>
          <w:sz w:val="26"/>
        </w:rPr>
        <w:t>API-04 - Stock and batch availability</w:t>
      </w:r>
    </w:p>
    <w:p>
      <w:pPr>
        <w:widowControl/>
      </w:pPr>
      <w:r>
        <w:rPr>
          <w:rFonts w:ascii="Calibri" w:hAnsi="Calibri"/>
          <w:b/>
          <w:color w:val="1F2937"/>
          <w:sz w:val="22"/>
        </w:rPr>
        <w:t>Purpose:</w:t>
      </w:r>
      <w:r>
        <w:rPr>
          <w:rFonts w:ascii="Calibri" w:hAnsi="Calibri"/>
          <w:color w:val="1F2937"/>
          <w:sz w:val="22"/>
        </w:rPr>
        <w:t xml:space="preserve"> Return real-time SAP stock and batch information suitable for a dispatch allocation decision.</w:t>
      </w:r>
    </w:p>
    <w:p>
      <w:pPr>
        <w:widowControl/>
      </w:pPr>
      <w:r>
        <w:rPr>
          <w:rFonts w:ascii="Calibri" w:hAnsi="Calibri"/>
          <w:b/>
          <w:color w:val="1F2937"/>
          <w:sz w:val="22"/>
        </w:rPr>
        <w:t>Candidate class:</w:t>
      </w:r>
      <w:r>
        <w:rPr>
          <w:rFonts w:ascii="Calibri" w:hAnsi="Calibri"/>
          <w:color w:val="1F2937"/>
          <w:sz w:val="22"/>
        </w:rPr>
        <w:t xml:space="preserve"> C - composite read over standard stock, batch and approved allocation logic.</w:t>
      </w:r>
    </w:p>
    <w:p>
      <w:pPr>
        <w:widowControl/>
      </w:pPr>
      <w:r>
        <w:rPr>
          <w:rFonts w:ascii="Calibri" w:hAnsi="Calibri"/>
          <w:b/>
          <w:color w:val="1F2937"/>
          <w:sz w:val="22"/>
        </w:rPr>
        <w:t>Candidate inputs</w:t>
      </w:r>
    </w:p>
    <w:p>
      <w:pPr>
        <w:pStyle w:val="ListBullet"/>
      </w:pPr>
      <w:r>
        <w:rPr>
          <w:rFonts w:ascii="Calibri" w:hAnsi="Calibri"/>
          <w:color w:val="1F2937"/>
          <w:sz w:val="22"/>
        </w:rPr>
        <w:t>plant and material, mandatory;</w:t>
      </w:r>
    </w:p>
    <w:p>
      <w:pPr>
        <w:pStyle w:val="ListBullet"/>
      </w:pPr>
      <w:r>
        <w:rPr>
          <w:rFonts w:ascii="Calibri" w:hAnsi="Calibri"/>
          <w:color w:val="1F2937"/>
          <w:sz w:val="22"/>
        </w:rPr>
        <w:t>storage location and batch, optional;</w:t>
      </w:r>
    </w:p>
    <w:p>
      <w:pPr>
        <w:pStyle w:val="ListBullet"/>
      </w:pPr>
      <w:r>
        <w:rPr>
          <w:rFonts w:ascii="Calibri" w:hAnsi="Calibri"/>
          <w:color w:val="1F2937"/>
          <w:sz w:val="22"/>
        </w:rPr>
        <w:t>stock semantic, mandatory after V-07;</w:t>
      </w:r>
    </w:p>
    <w:p>
      <w:pPr>
        <w:pStyle w:val="ListBullet"/>
      </w:pPr>
      <w:r>
        <w:rPr>
          <w:rFonts w:ascii="Calibri" w:hAnsi="Calibri"/>
          <w:color w:val="1F2937"/>
          <w:sz w:val="22"/>
        </w:rPr>
        <w:t>requested quantity and UOM, optional;</w:t>
      </w:r>
    </w:p>
    <w:p>
      <w:pPr>
        <w:pStyle w:val="ListBullet"/>
      </w:pPr>
      <w:r>
        <w:rPr>
          <w:rFonts w:ascii="Calibri" w:hAnsi="Calibri"/>
          <w:color w:val="1F2937"/>
          <w:sz w:val="22"/>
        </w:rPr>
        <w:t>bounded result size and pagination.</w:t>
      </w:r>
    </w:p>
    <w:p>
      <w:pPr>
        <w:widowControl/>
      </w:pPr>
      <w:r>
        <w:rPr>
          <w:rFonts w:ascii="Calibri" w:hAnsi="Calibri"/>
          <w:b/>
          <w:color w:val="1F2937"/>
          <w:sz w:val="22"/>
        </w:rPr>
        <w:t>Candidate outputs</w:t>
      </w:r>
    </w:p>
    <w:p>
      <w:pPr>
        <w:pStyle w:val="ListBullet"/>
      </w:pPr>
      <w:r>
        <w:rPr>
          <w:rFonts w:ascii="Calibri" w:hAnsi="Calibri"/>
          <w:color w:val="1F2937"/>
          <w:sz w:val="22"/>
        </w:rPr>
        <w:t>plant, storage location, material and batch;</w:t>
      </w:r>
    </w:p>
    <w:p>
      <w:pPr>
        <w:pStyle w:val="ListBullet"/>
      </w:pPr>
      <w:r>
        <w:rPr>
          <w:rFonts w:ascii="Calibri" w:hAnsi="Calibri"/>
          <w:color w:val="1F2937"/>
          <w:sz w:val="22"/>
        </w:rPr>
        <w:t>unrestricted, quality-inspection and blocked quantities as approved;</w:t>
      </w:r>
    </w:p>
    <w:p>
      <w:pPr>
        <w:pStyle w:val="ListBullet"/>
      </w:pPr>
      <w:r>
        <w:rPr>
          <w:rFonts w:ascii="Calibri" w:hAnsi="Calibri"/>
          <w:color w:val="1F2937"/>
          <w:sz w:val="22"/>
        </w:rPr>
        <w:t>allocatable quantity under the chosen semantic;</w:t>
      </w:r>
    </w:p>
    <w:p>
      <w:pPr>
        <w:pStyle w:val="ListBullet"/>
      </w:pPr>
      <w:r>
        <w:rPr>
          <w:rFonts w:ascii="Calibri" w:hAnsi="Calibri"/>
          <w:color w:val="1F2937"/>
          <w:sz w:val="22"/>
        </w:rPr>
        <w:t>manufacture and expiry dates where maintained;</w:t>
      </w:r>
    </w:p>
    <w:p>
      <w:pPr>
        <w:pStyle w:val="ListBullet"/>
      </w:pPr>
      <w:r>
        <w:rPr>
          <w:rFonts w:ascii="Calibri" w:hAnsi="Calibri"/>
          <w:color w:val="1F2937"/>
          <w:sz w:val="22"/>
        </w:rPr>
        <w:t>UOM and point-in-time timestamp;</w:t>
      </w:r>
    </w:p>
    <w:p>
      <w:pPr>
        <w:pStyle w:val="ListBullet"/>
      </w:pPr>
      <w:r>
        <w:rPr>
          <w:rFonts w:ascii="Calibri" w:hAnsi="Calibri"/>
          <w:color w:val="1F2937"/>
          <w:sz w:val="22"/>
        </w:rPr>
        <w:t>proposed issue sequence with reason.</w:t>
      </w:r>
    </w:p>
    <w:p>
      <w:pPr>
        <w:widowControl/>
      </w:pPr>
      <w:r>
        <w:rPr>
          <w:rFonts w:ascii="Calibri" w:hAnsi="Calibri"/>
          <w:b/>
          <w:color w:val="1F2937"/>
          <w:sz w:val="22"/>
        </w:rPr>
        <w:t>Rules</w:t>
      </w:r>
    </w:p>
    <w:p>
      <w:pPr>
        <w:pStyle w:val="ListBullet"/>
      </w:pPr>
      <w:r>
        <w:rPr>
          <w:rFonts w:ascii="Calibri" w:hAnsi="Calibri"/>
          <w:color w:val="1F2937"/>
          <w:sz w:val="22"/>
        </w:rPr>
        <w:t>serve real-time transactional SAP data, not a replicated Datasphere snapshot;</w:t>
      </w:r>
    </w:p>
    <w:p>
      <w:pPr>
        <w:pStyle w:val="ListBullet"/>
      </w:pPr>
      <w:r>
        <w:rPr>
          <w:rFonts w:ascii="Calibri" w:hAnsi="Calibri"/>
          <w:color w:val="1F2937"/>
          <w:sz w:val="22"/>
        </w:rPr>
        <w:t>do not label unrestricted stock as ATP unless it is actually the availability-check result;</w:t>
      </w:r>
    </w:p>
    <w:p>
      <w:pPr>
        <w:pStyle w:val="ListBullet"/>
      </w:pPr>
      <w:r>
        <w:rPr>
          <w:rFonts w:ascii="Calibri" w:hAnsi="Calibri"/>
          <w:color w:val="1F2937"/>
          <w:sz w:val="22"/>
        </w:rPr>
        <w:t>proposed FIFO based on manufacture date requires an owner and configuration validation;</w:t>
      </w:r>
    </w:p>
    <w:p>
      <w:pPr>
        <w:pStyle w:val="ListBullet"/>
      </w:pPr>
      <w:r>
        <w:rPr>
          <w:rFonts w:ascii="Calibri" w:hAnsi="Calibri"/>
          <w:color w:val="1F2937"/>
          <w:sz w:val="22"/>
        </w:rPr>
        <w:t>show blocked and quality stock separately;</w:t>
      </w:r>
    </w:p>
    <w:p>
      <w:pPr>
        <w:pStyle w:val="ListBullet"/>
      </w:pPr>
      <w:r>
        <w:rPr>
          <w:rFonts w:ascii="Calibri" w:hAnsi="Calibri"/>
          <w:color w:val="1F2937"/>
          <w:sz w:val="22"/>
        </w:rPr>
        <w:t>do not reserve stock unless reservation is explicitly added to scope;</w:t>
      </w:r>
    </w:p>
    <w:p>
      <w:pPr>
        <w:pStyle w:val="ListBullet"/>
      </w:pPr>
      <w:r>
        <w:rPr>
          <w:rFonts w:ascii="Calibri" w:hAnsi="Calibri"/>
          <w:color w:val="1F2937"/>
          <w:sz w:val="22"/>
        </w:rPr>
        <w:t>proposed p95 response target is two seconds and requires performance validation.</w:t>
      </w:r>
    </w:p>
    <w:p>
      <w:pPr>
        <w:widowControl/>
      </w:pPr>
      <w:r>
        <w:rPr>
          <w:rFonts w:ascii="Calibri" w:hAnsi="Calibri"/>
          <w:b/>
          <w:color w:val="1F2937"/>
          <w:sz w:val="22"/>
        </w:rPr>
        <w:t>Primary validations:</w:t>
      </w:r>
      <w:r>
        <w:rPr>
          <w:rFonts w:ascii="Calibri" w:hAnsi="Calibri"/>
          <w:color w:val="1F2937"/>
          <w:sz w:val="22"/>
        </w:rPr>
        <w:t xml:space="preserve"> V-01, V-07, V-08, V-12, V-21 and V-27.</w:t>
      </w:r>
    </w:p>
    <w:p>
      <w:pPr>
        <w:pStyle w:val="Heading2"/>
      </w:pPr>
      <w:r>
        <w:rPr>
          <w:rFonts w:ascii="Calibri" w:hAnsi="Calibri"/>
          <w:color w:val="2E74B5"/>
          <w:sz w:val="26"/>
        </w:rPr>
        <w:t>API-05 - Shipment cost</w:t>
      </w:r>
    </w:p>
    <w:p>
      <w:pPr>
        <w:widowControl/>
      </w:pPr>
      <w:r>
        <w:rPr>
          <w:rFonts w:ascii="Calibri" w:hAnsi="Calibri"/>
          <w:b/>
          <w:color w:val="1F2937"/>
          <w:sz w:val="22"/>
        </w:rPr>
        <w:t>Purpose:</w:t>
      </w:r>
      <w:r>
        <w:rPr>
          <w:rFonts w:ascii="Calibri" w:hAnsi="Calibri"/>
          <w:color w:val="1F2937"/>
          <w:sz w:val="22"/>
        </w:rPr>
        <w:t xml:space="preserve"> Return either a non-binding pre-document estimate or the actual cost from an existing shipment-cost document.</w:t>
      </w:r>
    </w:p>
    <w:p>
      <w:pPr>
        <w:widowControl/>
      </w:pPr>
      <w:r>
        <w:rPr>
          <w:rFonts w:ascii="Calibri" w:hAnsi="Calibri"/>
          <w:b/>
          <w:color w:val="1F2937"/>
          <w:sz w:val="22"/>
        </w:rPr>
        <w:t>Candidate class:</w:t>
      </w:r>
      <w:r>
        <w:rPr>
          <w:rFonts w:ascii="Calibri" w:hAnsi="Calibri"/>
          <w:color w:val="1F2937"/>
          <w:sz w:val="22"/>
        </w:rPr>
        <w:t xml:space="preserve"> X for ESTIMATE mode; S for ACTUAL mode.</w:t>
      </w:r>
    </w:p>
    <w:p>
      <w:pPr>
        <w:widowControl/>
      </w:pPr>
      <w:r>
        <w:rPr>
          <w:rFonts w:ascii="Calibri" w:hAnsi="Calibri"/>
          <w:b/>
          <w:color w:val="1F2937"/>
          <w:sz w:val="22"/>
        </w:rPr>
        <w:t>Candidate inputs</w:t>
      </w:r>
    </w:p>
    <w:p>
      <w:pPr>
        <w:pStyle w:val="ListBullet"/>
      </w:pPr>
      <w:r>
        <w:rPr>
          <w:rFonts w:ascii="Calibri" w:hAnsi="Calibri"/>
          <w:color w:val="1F2937"/>
          <w:sz w:val="22"/>
        </w:rPr>
        <w:t>mode: ESTIMATE or ACTUAL;</w:t>
      </w:r>
    </w:p>
    <w:p>
      <w:pPr>
        <w:pStyle w:val="ListBullet"/>
      </w:pPr>
      <w:r>
        <w:rPr>
          <w:rFonts w:ascii="Calibri" w:hAnsi="Calibri"/>
          <w:color w:val="1F2937"/>
          <w:sz w:val="22"/>
        </w:rPr>
        <w:t>route, transporter, distance and relevant pricing inputs for estimate;</w:t>
      </w:r>
    </w:p>
    <w:p>
      <w:pPr>
        <w:pStyle w:val="ListBullet"/>
      </w:pPr>
      <w:r>
        <w:rPr>
          <w:rFonts w:ascii="Calibri" w:hAnsi="Calibri"/>
          <w:color w:val="1F2937"/>
          <w:sz w:val="22"/>
        </w:rPr>
        <w:t>shipment or shipment-cost document key for actual;</w:t>
      </w:r>
    </w:p>
    <w:p>
      <w:pPr>
        <w:pStyle w:val="ListBullet"/>
      </w:pPr>
      <w:r>
        <w:rPr>
          <w:rFonts w:ascii="Calibri" w:hAnsi="Calibri"/>
          <w:color w:val="1F2937"/>
          <w:sz w:val="22"/>
        </w:rPr>
        <w:t>currency and pricing date where applicable.</w:t>
      </w:r>
    </w:p>
    <w:p>
      <w:pPr>
        <w:widowControl/>
      </w:pPr>
      <w:r>
        <w:rPr>
          <w:rFonts w:ascii="Calibri" w:hAnsi="Calibri"/>
          <w:b/>
          <w:color w:val="1F2937"/>
          <w:sz w:val="22"/>
        </w:rPr>
        <w:t>Candidate outputs</w:t>
      </w:r>
    </w:p>
    <w:p>
      <w:pPr>
        <w:pStyle w:val="ListBullet"/>
      </w:pPr>
      <w:r>
        <w:rPr>
          <w:rFonts w:ascii="Calibri" w:hAnsi="Calibri"/>
          <w:color w:val="1F2937"/>
          <w:sz w:val="22"/>
        </w:rPr>
        <w:t>estimated or actual amount and currency;</w:t>
      </w:r>
    </w:p>
    <w:p>
      <w:pPr>
        <w:pStyle w:val="ListBullet"/>
      </w:pPr>
      <w:r>
        <w:rPr>
          <w:rFonts w:ascii="Calibri" w:hAnsi="Calibri"/>
          <w:color w:val="1F2937"/>
          <w:sz w:val="22"/>
        </w:rPr>
        <w:t>rate/condition provenance where permitted;</w:t>
      </w:r>
    </w:p>
    <w:p>
      <w:pPr>
        <w:pStyle w:val="ListBullet"/>
      </w:pPr>
      <w:r>
        <w:rPr>
          <w:rFonts w:ascii="Calibri" w:hAnsi="Calibri"/>
          <w:color w:val="1F2937"/>
          <w:sz w:val="22"/>
        </w:rPr>
        <w:t>“no valid rate” as an explicit business outcome;</w:t>
      </w:r>
    </w:p>
    <w:p>
      <w:pPr>
        <w:pStyle w:val="ListBullet"/>
      </w:pPr>
      <w:r>
        <w:rPr>
          <w:rFonts w:ascii="Calibri" w:hAnsi="Calibri"/>
          <w:color w:val="1F2937"/>
          <w:sz w:val="22"/>
        </w:rPr>
        <w:t>estimate timestamp and non-binding indicator.</w:t>
      </w:r>
    </w:p>
    <w:p>
      <w:pPr>
        <w:widowControl/>
      </w:pPr>
      <w:r>
        <w:rPr>
          <w:rFonts w:ascii="Calibri" w:hAnsi="Calibri"/>
          <w:b/>
          <w:color w:val="1F2937"/>
          <w:sz w:val="22"/>
        </w:rPr>
        <w:t>Rules</w:t>
      </w:r>
    </w:p>
    <w:p>
      <w:pPr>
        <w:pStyle w:val="ListBullet"/>
      </w:pPr>
      <w:r>
        <w:rPr>
          <w:rFonts w:ascii="Calibri" w:hAnsi="Calibri"/>
          <w:color w:val="1F2937"/>
          <w:sz w:val="22"/>
        </w:rPr>
        <w:t>do not create and reverse a productive document merely to calculate an estimate;</w:t>
      </w:r>
    </w:p>
    <w:p>
      <w:pPr>
        <w:pStyle w:val="ListBullet"/>
      </w:pPr>
      <w:r>
        <w:rPr>
          <w:rFonts w:ascii="Calibri" w:hAnsi="Calibri"/>
          <w:color w:val="1F2937"/>
          <w:sz w:val="22"/>
        </w:rPr>
        <w:t>prefer approved pricing or condition simulation;</w:t>
      </w:r>
    </w:p>
    <w:p>
      <w:pPr>
        <w:pStyle w:val="ListBullet"/>
      </w:pPr>
      <w:r>
        <w:rPr>
          <w:rFonts w:ascii="Calibri" w:hAnsi="Calibri"/>
          <w:color w:val="1F2937"/>
          <w:sz w:val="22"/>
        </w:rPr>
        <w:t>never return zero when no valid rate exists;</w:t>
      </w:r>
    </w:p>
    <w:p>
      <w:pPr>
        <w:pStyle w:val="ListBullet"/>
      </w:pPr>
      <w:r>
        <w:rPr>
          <w:rFonts w:ascii="Calibri" w:hAnsi="Calibri"/>
          <w:color w:val="1F2937"/>
          <w:sz w:val="22"/>
        </w:rPr>
        <w:t>the estimate must be labelled non-binding;</w:t>
      </w:r>
    </w:p>
    <w:p>
      <w:pPr>
        <w:pStyle w:val="ListBullet"/>
      </w:pPr>
      <w:r>
        <w:rPr>
          <w:rFonts w:ascii="Calibri" w:hAnsi="Calibri"/>
          <w:color w:val="1F2937"/>
          <w:sz w:val="22"/>
        </w:rPr>
        <w:t>actual cost must be read from the authoritative SAP document;</w:t>
      </w:r>
    </w:p>
    <w:p>
      <w:pPr>
        <w:pStyle w:val="ListBullet"/>
      </w:pPr>
      <w:r>
        <w:rPr>
          <w:rFonts w:ascii="Calibri" w:hAnsi="Calibri"/>
          <w:color w:val="1F2937"/>
          <w:sz w:val="22"/>
        </w:rPr>
        <w:t>classic shipment and shipment-costing use is not yet verified.</w:t>
      </w:r>
    </w:p>
    <w:p>
      <w:pPr>
        <w:widowControl/>
      </w:pPr>
      <w:r>
        <w:rPr>
          <w:rFonts w:ascii="Calibri" w:hAnsi="Calibri"/>
          <w:b/>
          <w:color w:val="1F2937"/>
          <w:sz w:val="22"/>
        </w:rPr>
        <w:t>Primary validations:</w:t>
      </w:r>
      <w:r>
        <w:rPr>
          <w:rFonts w:ascii="Calibri" w:hAnsi="Calibri"/>
          <w:color w:val="1F2937"/>
          <w:sz w:val="22"/>
        </w:rPr>
        <w:t xml:space="preserve"> V-01, V-04, V-06, V-10, V-12 and V-26.</w:t>
      </w:r>
    </w:p>
    <w:p>
      <w:pPr>
        <w:pStyle w:val="Heading2"/>
      </w:pPr>
      <w:r>
        <w:rPr>
          <w:rFonts w:ascii="Calibri" w:hAnsi="Calibri"/>
          <w:color w:val="2E74B5"/>
          <w:sz w:val="26"/>
        </w:rPr>
        <w:t>API-06 - Invoice creation orchestration</w:t>
      </w:r>
    </w:p>
    <w:p>
      <w:pPr>
        <w:widowControl/>
      </w:pPr>
      <w:r>
        <w:rPr>
          <w:rFonts w:ascii="Calibri" w:hAnsi="Calibri"/>
          <w:b/>
          <w:color w:val="1F2937"/>
          <w:sz w:val="22"/>
        </w:rPr>
        <w:t>Purpose:</w:t>
      </w:r>
      <w:r>
        <w:rPr>
          <w:rFonts w:ascii="Calibri" w:hAnsi="Calibri"/>
          <w:color w:val="1F2937"/>
          <w:sz w:val="22"/>
        </w:rPr>
        <w:t xml:space="preserve"> Coordinate the dispatch-to-invoice journey and expose progress, identifiers and recoverable failure states.</w:t>
      </w:r>
    </w:p>
    <w:p>
      <w:pPr>
        <w:widowControl/>
      </w:pPr>
      <w:r>
        <w:rPr>
          <w:rFonts w:ascii="Calibri" w:hAnsi="Calibri"/>
          <w:b/>
          <w:color w:val="1F2937"/>
          <w:sz w:val="22"/>
        </w:rPr>
        <w:t>Candidate class:</w:t>
      </w:r>
      <w:r>
        <w:rPr>
          <w:rFonts w:ascii="Calibri" w:hAnsi="Calibri"/>
          <w:color w:val="1F2937"/>
          <w:sz w:val="22"/>
        </w:rPr>
        <w:t xml:space="preserve"> X - application orchestration.</w:t>
      </w:r>
    </w:p>
    <w:p>
      <w:pPr>
        <w:widowControl/>
      </w:pPr>
      <w:r>
        <w:rPr>
          <w:rFonts w:ascii="Calibri" w:hAnsi="Calibri"/>
          <w:b/>
          <w:color w:val="1F2937"/>
          <w:sz w:val="22"/>
        </w:rPr>
        <w:t>Proposed stages</w:t>
      </w:r>
    </w:p>
    <w:p>
      <w:pPr>
        <w:pStyle w:val="ListNumber"/>
      </w:pPr>
      <w:r>
        <w:rPr>
          <w:rFonts w:ascii="Calibri" w:hAnsi="Calibri"/>
          <w:color w:val="1F2937"/>
          <w:sz w:val="22"/>
        </w:rPr>
        <w:t>Post goods issue.</w:t>
      </w:r>
    </w:p>
    <w:p>
      <w:pPr>
        <w:pStyle w:val="ListNumber"/>
      </w:pPr>
      <w:r>
        <w:rPr>
          <w:rFonts w:ascii="Calibri" w:hAnsi="Calibri"/>
          <w:color w:val="1F2937"/>
          <w:sz w:val="22"/>
        </w:rPr>
        <w:t>Create or update shipment.</w:t>
      </w:r>
    </w:p>
    <w:p>
      <w:pPr>
        <w:pStyle w:val="ListNumber"/>
      </w:pPr>
      <w:r>
        <w:rPr>
          <w:rFonts w:ascii="Calibri" w:hAnsi="Calibri"/>
          <w:color w:val="1F2937"/>
          <w:sz w:val="22"/>
        </w:rPr>
        <w:t>Create shipment-cost document.</w:t>
      </w:r>
    </w:p>
    <w:p>
      <w:pPr>
        <w:pStyle w:val="ListNumber"/>
      </w:pPr>
      <w:r>
        <w:rPr>
          <w:rFonts w:ascii="Calibri" w:hAnsi="Calibri"/>
          <w:color w:val="1F2937"/>
          <w:sz w:val="22"/>
        </w:rPr>
        <w:t>Create billing document.</w:t>
      </w:r>
    </w:p>
    <w:p>
      <w:pPr>
        <w:pStyle w:val="ListNumber"/>
      </w:pPr>
      <w:r>
        <w:rPr>
          <w:rFonts w:ascii="Calibri" w:hAnsi="Calibri"/>
          <w:color w:val="1F2937"/>
          <w:sz w:val="22"/>
        </w:rPr>
        <w:t>Generate or obtain e-Invoice/IRN.</w:t>
      </w:r>
    </w:p>
    <w:p>
      <w:pPr>
        <w:pStyle w:val="ListNumber"/>
      </w:pPr>
      <w:r>
        <w:rPr>
          <w:rFonts w:ascii="Calibri" w:hAnsi="Calibri"/>
          <w:color w:val="1F2937"/>
          <w:sz w:val="22"/>
        </w:rPr>
        <w:t>Generate or obtain E-Way Bill.</w:t>
      </w:r>
    </w:p>
    <w:p>
      <w:pPr>
        <w:widowControl/>
      </w:pPr>
      <w:r>
        <w:rPr>
          <w:rFonts w:ascii="Calibri" w:hAnsi="Calibri"/>
          <w:b/>
          <w:color w:val="1F2937"/>
          <w:sz w:val="22"/>
        </w:rPr>
        <w:t>Candidate inputs</w:t>
      </w:r>
    </w:p>
    <w:p>
      <w:pPr>
        <w:pStyle w:val="ListBullet"/>
      </w:pPr>
      <w:r>
        <w:rPr>
          <w:rFonts w:ascii="Calibri" w:hAnsi="Calibri"/>
          <w:color w:val="1F2937"/>
          <w:sz w:val="22"/>
        </w:rPr>
        <w:t>outbound delivery and items;</w:t>
      </w:r>
    </w:p>
    <w:p>
      <w:pPr>
        <w:pStyle w:val="ListBullet"/>
      </w:pPr>
      <w:r>
        <w:rPr>
          <w:rFonts w:ascii="Calibri" w:hAnsi="Calibri"/>
          <w:color w:val="1F2937"/>
          <w:sz w:val="22"/>
        </w:rPr>
        <w:t>batch allocation and final quantity;</w:t>
      </w:r>
    </w:p>
    <w:p>
      <w:pPr>
        <w:pStyle w:val="ListBullet"/>
      </w:pPr>
      <w:r>
        <w:rPr>
          <w:rFonts w:ascii="Calibri" w:hAnsi="Calibri"/>
          <w:color w:val="1F2937"/>
          <w:sz w:val="22"/>
        </w:rPr>
        <w:t>shipment, route, transporter, vehicle and driver data as approved;</w:t>
      </w:r>
    </w:p>
    <w:p>
      <w:pPr>
        <w:pStyle w:val="ListBullet"/>
      </w:pPr>
      <w:r>
        <w:rPr>
          <w:rFonts w:ascii="Calibri" w:hAnsi="Calibri"/>
          <w:color w:val="1F2937"/>
          <w:sz w:val="22"/>
        </w:rPr>
        <w:t>billing and statutory context;</w:t>
      </w:r>
    </w:p>
    <w:p>
      <w:pPr>
        <w:pStyle w:val="ListBullet"/>
      </w:pPr>
      <w:r>
        <w:rPr>
          <w:rFonts w:ascii="Calibri" w:hAnsi="Calibri"/>
          <w:color w:val="1F2937"/>
          <w:sz w:val="22"/>
        </w:rPr>
        <w:t>external process request ID and correlation ID.</w:t>
      </w:r>
    </w:p>
    <w:p>
      <w:pPr>
        <w:widowControl/>
      </w:pPr>
      <w:r>
        <w:rPr>
          <w:rFonts w:ascii="Calibri" w:hAnsi="Calibri"/>
          <w:b/>
          <w:color w:val="1F2937"/>
          <w:sz w:val="22"/>
        </w:rPr>
        <w:t>Candidate outputs</w:t>
      </w:r>
    </w:p>
    <w:p>
      <w:pPr>
        <w:pStyle w:val="ListBullet"/>
      </w:pPr>
      <w:r>
        <w:rPr>
          <w:rFonts w:ascii="Calibri" w:hAnsi="Calibri"/>
          <w:color w:val="1F2937"/>
          <w:sz w:val="22"/>
        </w:rPr>
        <w:t>process ID;</w:t>
      </w:r>
    </w:p>
    <w:p>
      <w:pPr>
        <w:pStyle w:val="ListBullet"/>
      </w:pPr>
      <w:r>
        <w:rPr>
          <w:rFonts w:ascii="Calibri" w:hAnsi="Calibri"/>
          <w:color w:val="1F2937"/>
          <w:sz w:val="22"/>
        </w:rPr>
        <w:t>overall state;</w:t>
      </w:r>
    </w:p>
    <w:p>
      <w:pPr>
        <w:pStyle w:val="ListBullet"/>
      </w:pPr>
      <w:r>
        <w:rPr>
          <w:rFonts w:ascii="Calibri" w:hAnsi="Calibri"/>
          <w:color w:val="1F2937"/>
          <w:sz w:val="22"/>
        </w:rPr>
        <w:t>per-stage state and timestamps;</w:t>
      </w:r>
    </w:p>
    <w:p>
      <w:pPr>
        <w:pStyle w:val="ListBullet"/>
      </w:pPr>
      <w:r>
        <w:rPr>
          <w:rFonts w:ascii="Calibri" w:hAnsi="Calibri"/>
          <w:color w:val="1F2937"/>
          <w:sz w:val="22"/>
        </w:rPr>
        <w:t>SAP document-flow keys;</w:t>
      </w:r>
    </w:p>
    <w:p>
      <w:pPr>
        <w:pStyle w:val="ListBullet"/>
      </w:pPr>
      <w:r>
        <w:rPr>
          <w:rFonts w:ascii="Calibri" w:hAnsi="Calibri"/>
          <w:color w:val="1F2937"/>
          <w:sz w:val="22"/>
        </w:rPr>
        <w:t>statutory identifiers and status where available;</w:t>
      </w:r>
    </w:p>
    <w:p>
      <w:pPr>
        <w:pStyle w:val="ListBullet"/>
      </w:pPr>
      <w:r>
        <w:rPr>
          <w:rFonts w:ascii="Calibri" w:hAnsi="Calibri"/>
          <w:color w:val="1F2937"/>
          <w:sz w:val="22"/>
        </w:rPr>
        <w:t>retryable/non-retryable error details.</w:t>
      </w:r>
    </w:p>
    <w:p>
      <w:pPr>
        <w:widowControl/>
      </w:pPr>
      <w:r>
        <w:rPr>
          <w:rFonts w:ascii="Calibri" w:hAnsi="Calibri"/>
          <w:b/>
          <w:color w:val="1F2937"/>
          <w:sz w:val="22"/>
        </w:rPr>
        <w:t>Rules</w:t>
      </w:r>
    </w:p>
    <w:p>
      <w:pPr>
        <w:pStyle w:val="ListBullet"/>
      </w:pPr>
      <w:r>
        <w:rPr>
          <w:rFonts w:ascii="Calibri" w:hAnsi="Calibri"/>
          <w:color w:val="1F2937"/>
          <w:sz w:val="22"/>
        </w:rPr>
        <w:t>treat stages as separate units of work unless V-04 proves otherwise;</w:t>
      </w:r>
    </w:p>
    <w:p>
      <w:pPr>
        <w:pStyle w:val="ListBullet"/>
      </w:pPr>
      <w:r>
        <w:rPr>
          <w:rFonts w:ascii="Calibri" w:hAnsi="Calibri"/>
          <w:color w:val="1F2937"/>
          <w:sz w:val="22"/>
        </w:rPr>
        <w:t>use process-level and stage-level idempotency;</w:t>
      </w:r>
    </w:p>
    <w:p>
      <w:pPr>
        <w:pStyle w:val="ListBullet"/>
      </w:pPr>
      <w:r>
        <w:rPr>
          <w:rFonts w:ascii="Calibri" w:hAnsi="Calibri"/>
          <w:color w:val="1F2937"/>
          <w:sz w:val="22"/>
        </w:rPr>
        <w:t>resume from the last safe state and never repeat a completed posting;</w:t>
      </w:r>
    </w:p>
    <w:p>
      <w:pPr>
        <w:pStyle w:val="ListBullet"/>
      </w:pPr>
      <w:r>
        <w:rPr>
          <w:rFonts w:ascii="Calibri" w:hAnsi="Calibri"/>
          <w:color w:val="1F2937"/>
          <w:sz w:val="22"/>
        </w:rPr>
        <w:t>preserve partial completion visibly;</w:t>
      </w:r>
    </w:p>
    <w:p>
      <w:pPr>
        <w:pStyle w:val="ListBullet"/>
      </w:pPr>
      <w:r>
        <w:rPr>
          <w:rFonts w:ascii="Calibri" w:hAnsi="Calibri"/>
          <w:color w:val="1F2937"/>
          <w:sz w:val="22"/>
        </w:rPr>
        <w:t>keep original SAP and statutory rejection details in approved logs;</w:t>
      </w:r>
    </w:p>
    <w:p>
      <w:pPr>
        <w:pStyle w:val="ListBullet"/>
      </w:pPr>
      <w:r>
        <w:rPr>
          <w:rFonts w:ascii="Calibri" w:hAnsi="Calibri"/>
          <w:color w:val="1F2937"/>
          <w:sz w:val="22"/>
        </w:rPr>
        <w:t>provide a separate status read even if the initial command waits synchronously;</w:t>
      </w:r>
    </w:p>
    <w:p>
      <w:pPr>
        <w:pStyle w:val="ListBullet"/>
      </w:pPr>
      <w:r>
        <w:rPr>
          <w:rFonts w:ascii="Calibri" w:hAnsi="Calibri"/>
          <w:color w:val="1F2937"/>
          <w:sz w:val="22"/>
        </w:rPr>
        <w:t>do not promise immediate completion until the interaction model is approved.</w:t>
      </w:r>
    </w:p>
    <w:p>
      <w:pPr>
        <w:widowControl/>
      </w:pPr>
      <w:r>
        <w:rPr>
          <w:rFonts w:ascii="Calibri" w:hAnsi="Calibri"/>
          <w:b/>
          <w:color w:val="1F2937"/>
          <w:sz w:val="22"/>
        </w:rPr>
        <w:t>Primary validations:</w:t>
      </w:r>
      <w:r>
        <w:rPr>
          <w:rFonts w:ascii="Calibri" w:hAnsi="Calibri"/>
          <w:color w:val="1F2937"/>
          <w:sz w:val="22"/>
        </w:rPr>
        <w:t xml:space="preserve"> V-01, V-02, V-03, V-04, V-06, V-12, V-14, V-18, V-19, V-20, V-22, V-24, V-26, V-27, V-28 and V-29.</w:t>
      </w:r>
    </w:p>
    <w:p>
      <w:pPr>
        <w:pStyle w:val="Heading2"/>
      </w:pPr>
      <w:r>
        <w:rPr>
          <w:rFonts w:ascii="Calibri" w:hAnsi="Calibri"/>
          <w:color w:val="2E74B5"/>
          <w:sz w:val="26"/>
        </w:rPr>
        <w:t>API-07 - Invoice correction or reversal</w:t>
      </w:r>
    </w:p>
    <w:p>
      <w:pPr>
        <w:widowControl/>
      </w:pPr>
      <w:r>
        <w:rPr>
          <w:rFonts w:ascii="Calibri" w:hAnsi="Calibri"/>
          <w:b/>
          <w:color w:val="1F2937"/>
          <w:sz w:val="22"/>
        </w:rPr>
        <w:t>Purpose:</w:t>
      </w:r>
      <w:r>
        <w:rPr>
          <w:rFonts w:ascii="Calibri" w:hAnsi="Calibri"/>
          <w:color w:val="1F2937"/>
          <w:sz w:val="22"/>
        </w:rPr>
        <w:t xml:space="preserve"> Execute an approved billing correction or reversal path while preserving the original audit trail and statutory constraints.</w:t>
      </w:r>
    </w:p>
    <w:p>
      <w:pPr>
        <w:widowControl/>
      </w:pPr>
      <w:r>
        <w:rPr>
          <w:rFonts w:ascii="Calibri" w:hAnsi="Calibri"/>
          <w:b/>
          <w:color w:val="1F2937"/>
          <w:sz w:val="22"/>
        </w:rPr>
        <w:t>Candidate class:</w:t>
      </w:r>
      <w:r>
        <w:rPr>
          <w:rFonts w:ascii="Calibri" w:hAnsi="Calibri"/>
          <w:color w:val="1F2937"/>
          <w:sz w:val="22"/>
        </w:rPr>
        <w:t xml:space="preserve"> S - standard billing documents with statutory guard logic.</w:t>
      </w:r>
    </w:p>
    <w:p>
      <w:pPr>
        <w:widowControl/>
      </w:pPr>
      <w:r>
        <w:rPr>
          <w:rFonts w:ascii="Calibri" w:hAnsi="Calibri"/>
          <w:b/>
          <w:color w:val="1F2937"/>
          <w:sz w:val="22"/>
        </w:rPr>
        <w:t>Candidate SAP mechanisms:</w:t>
      </w:r>
      <w:r>
        <w:rPr>
          <w:rFonts w:ascii="Calibri" w:hAnsi="Calibri"/>
          <w:color w:val="1F2937"/>
          <w:sz w:val="22"/>
        </w:rPr>
        <w:t xml:space="preserve"> invoice correction request/document flow or billing cancellation BAPI, subject to the functional scenario.</w:t>
      </w:r>
    </w:p>
    <w:p>
      <w:pPr>
        <w:widowControl/>
      </w:pPr>
      <w:r>
        <w:rPr>
          <w:rFonts w:ascii="Calibri" w:hAnsi="Calibri"/>
          <w:b/>
          <w:color w:val="1F2937"/>
          <w:sz w:val="22"/>
        </w:rPr>
        <w:t>Candidate inputs</w:t>
      </w:r>
    </w:p>
    <w:p>
      <w:pPr>
        <w:pStyle w:val="ListBullet"/>
      </w:pPr>
      <w:r>
        <w:rPr>
          <w:rFonts w:ascii="Calibri" w:hAnsi="Calibri"/>
          <w:color w:val="1F2937"/>
          <w:sz w:val="22"/>
        </w:rPr>
        <w:t>original billing document;</w:t>
      </w:r>
    </w:p>
    <w:p>
      <w:pPr>
        <w:pStyle w:val="ListBullet"/>
      </w:pPr>
      <w:r>
        <w:rPr>
          <w:rFonts w:ascii="Calibri" w:hAnsi="Calibri"/>
          <w:color w:val="1F2937"/>
          <w:sz w:val="22"/>
        </w:rPr>
        <w:t>action type: correction or reversal;</w:t>
      </w:r>
    </w:p>
    <w:p>
      <w:pPr>
        <w:pStyle w:val="ListBullet"/>
      </w:pPr>
      <w:r>
        <w:rPr>
          <w:rFonts w:ascii="Calibri" w:hAnsi="Calibri"/>
          <w:color w:val="1F2937"/>
          <w:sz w:val="22"/>
        </w:rPr>
        <w:t>approved reason code;</w:t>
      </w:r>
    </w:p>
    <w:p>
      <w:pPr>
        <w:pStyle w:val="ListBullet"/>
      </w:pPr>
      <w:r>
        <w:rPr>
          <w:rFonts w:ascii="Calibri" w:hAnsi="Calibri"/>
          <w:color w:val="1F2937"/>
          <w:sz w:val="22"/>
        </w:rPr>
        <w:t>changed values allowed by the selected process;</w:t>
      </w:r>
    </w:p>
    <w:p>
      <w:pPr>
        <w:pStyle w:val="ListBullet"/>
      </w:pPr>
      <w:r>
        <w:rPr>
          <w:rFonts w:ascii="Calibri" w:hAnsi="Calibri"/>
          <w:color w:val="1F2937"/>
          <w:sz w:val="22"/>
        </w:rPr>
        <w:t>external request ID and correlation ID.</w:t>
      </w:r>
    </w:p>
    <w:p>
      <w:pPr>
        <w:widowControl/>
      </w:pPr>
      <w:r>
        <w:rPr>
          <w:rFonts w:ascii="Calibri" w:hAnsi="Calibri"/>
          <w:b/>
          <w:color w:val="1F2937"/>
          <w:sz w:val="22"/>
        </w:rPr>
        <w:t>Candidate outputs</w:t>
      </w:r>
    </w:p>
    <w:p>
      <w:pPr>
        <w:pStyle w:val="ListBullet"/>
      </w:pPr>
      <w:r>
        <w:rPr>
          <w:rFonts w:ascii="Calibri" w:hAnsi="Calibri"/>
          <w:color w:val="1F2937"/>
          <w:sz w:val="22"/>
        </w:rPr>
        <w:t>correction, reversal or replacement document key;</w:t>
      </w:r>
    </w:p>
    <w:p>
      <w:pPr>
        <w:pStyle w:val="ListBullet"/>
      </w:pPr>
      <w:r>
        <w:rPr>
          <w:rFonts w:ascii="Calibri" w:hAnsi="Calibri"/>
          <w:color w:val="1F2937"/>
          <w:sz w:val="22"/>
        </w:rPr>
        <w:t>relationship to the original billing document;</w:t>
      </w:r>
    </w:p>
    <w:p>
      <w:pPr>
        <w:pStyle w:val="ListBullet"/>
      </w:pPr>
      <w:r>
        <w:rPr>
          <w:rFonts w:ascii="Calibri" w:hAnsi="Calibri"/>
          <w:color w:val="1F2937"/>
          <w:sz w:val="22"/>
        </w:rPr>
        <w:t>accounting and statutory follow-on status;</w:t>
      </w:r>
    </w:p>
    <w:p>
      <w:pPr>
        <w:pStyle w:val="ListBullet"/>
      </w:pPr>
      <w:r>
        <w:rPr>
          <w:rFonts w:ascii="Calibri" w:hAnsi="Calibri"/>
          <w:color w:val="1F2937"/>
          <w:sz w:val="22"/>
        </w:rPr>
        <w:t>warnings and blocking reasons.</w:t>
      </w:r>
    </w:p>
    <w:p>
      <w:pPr>
        <w:widowControl/>
      </w:pPr>
      <w:r>
        <w:rPr>
          <w:rFonts w:ascii="Calibri" w:hAnsi="Calibri"/>
          <w:b/>
          <w:color w:val="1F2937"/>
          <w:sz w:val="22"/>
        </w:rPr>
        <w:t>Rules</w:t>
      </w:r>
    </w:p>
    <w:p>
      <w:pPr>
        <w:pStyle w:val="ListBullet"/>
      </w:pPr>
      <w:r>
        <w:rPr>
          <w:rFonts w:ascii="Calibri" w:hAnsi="Calibri"/>
          <w:color w:val="1F2937"/>
          <w:sz w:val="22"/>
        </w:rPr>
        <w:t>correction and reversal are different business actions;</w:t>
      </w:r>
    </w:p>
    <w:p>
      <w:pPr>
        <w:pStyle w:val="ListBullet"/>
      </w:pPr>
      <w:r>
        <w:rPr>
          <w:rFonts w:ascii="Calibri" w:hAnsi="Calibri"/>
          <w:color w:val="1F2937"/>
          <w:sz w:val="22"/>
        </w:rPr>
        <w:t>a correction creates a new controlled document; it does not rewrite the original;</w:t>
      </w:r>
    </w:p>
    <w:p>
      <w:pPr>
        <w:pStyle w:val="ListBullet"/>
      </w:pPr>
      <w:r>
        <w:rPr>
          <w:rFonts w:ascii="Calibri" w:hAnsi="Calibri"/>
          <w:color w:val="1F2937"/>
          <w:sz w:val="22"/>
        </w:rPr>
        <w:t>determine IRN and E-Way Bill eligibility before billing change;</w:t>
      </w:r>
    </w:p>
    <w:p>
      <w:pPr>
        <w:pStyle w:val="ListBullet"/>
      </w:pPr>
      <w:r>
        <w:rPr>
          <w:rFonts w:ascii="Calibri" w:hAnsi="Calibri"/>
          <w:color w:val="1F2937"/>
          <w:sz w:val="22"/>
        </w:rPr>
        <w:t>preserve document flow and audit;</w:t>
      </w:r>
    </w:p>
    <w:p>
      <w:pPr>
        <w:pStyle w:val="ListBullet"/>
      </w:pPr>
      <w:r>
        <w:rPr>
          <w:rFonts w:ascii="Calibri" w:hAnsi="Calibri"/>
          <w:color w:val="1F2937"/>
          <w:sz w:val="22"/>
        </w:rPr>
        <w:t>do not conflate billing correction with E-Invoice correction.</w:t>
      </w:r>
    </w:p>
    <w:p>
      <w:pPr>
        <w:widowControl/>
      </w:pPr>
      <w:r>
        <w:rPr>
          <w:rFonts w:ascii="Calibri" w:hAnsi="Calibri"/>
          <w:b/>
          <w:color w:val="1F2937"/>
          <w:sz w:val="22"/>
        </w:rPr>
        <w:t>Primary validations:</w:t>
      </w:r>
      <w:r>
        <w:rPr>
          <w:rFonts w:ascii="Calibri" w:hAnsi="Calibri"/>
          <w:color w:val="1F2937"/>
          <w:sz w:val="22"/>
        </w:rPr>
        <w:t xml:space="preserve"> V-01, V-12, V-14, V-20 and V-22.</w:t>
      </w:r>
    </w:p>
    <w:p>
      <w:pPr>
        <w:pStyle w:val="Heading2"/>
      </w:pPr>
      <w:r>
        <w:rPr>
          <w:rFonts w:ascii="Calibri" w:hAnsi="Calibri"/>
          <w:color w:val="2E74B5"/>
          <w:sz w:val="26"/>
        </w:rPr>
        <w:t>API-08 - E-Invoice correction</w:t>
      </w:r>
    </w:p>
    <w:p>
      <w:pPr>
        <w:widowControl/>
      </w:pPr>
      <w:r>
        <w:rPr>
          <w:rFonts w:ascii="Calibri" w:hAnsi="Calibri"/>
          <w:b/>
          <w:color w:val="1F2937"/>
          <w:sz w:val="22"/>
        </w:rPr>
        <w:t>Purpose:</w:t>
      </w:r>
      <w:r>
        <w:rPr>
          <w:rFonts w:ascii="Calibri" w:hAnsi="Calibri"/>
          <w:color w:val="1F2937"/>
          <w:sz w:val="22"/>
        </w:rPr>
        <w:t xml:space="preserve"> Apply the permitted statutory remediation path for an invoice with an issued IRN.</w:t>
      </w:r>
    </w:p>
    <w:p>
      <w:pPr>
        <w:widowControl/>
      </w:pPr>
      <w:r>
        <w:rPr>
          <w:rFonts w:ascii="Calibri" w:hAnsi="Calibri"/>
          <w:b/>
          <w:color w:val="1F2937"/>
          <w:sz w:val="22"/>
        </w:rPr>
        <w:t>Candidate class:</w:t>
      </w:r>
      <w:r>
        <w:rPr>
          <w:rFonts w:ascii="Calibri" w:hAnsi="Calibri"/>
          <w:color w:val="1F2937"/>
          <w:sz w:val="22"/>
        </w:rPr>
        <w:t xml:space="preserve"> S when SAP Document Compliance supports the required India flow; X if bespoke statutory integration and state storage are required.</w:t>
      </w:r>
    </w:p>
    <w:p>
      <w:pPr>
        <w:widowControl/>
      </w:pPr>
      <w:r>
        <w:rPr>
          <w:rFonts w:ascii="Calibri" w:hAnsi="Calibri"/>
          <w:b/>
          <w:color w:val="1F2937"/>
          <w:sz w:val="22"/>
        </w:rPr>
        <w:t>Proposed branches</w:t>
      </w:r>
    </w:p>
    <w:p>
      <w:pPr>
        <w:pStyle w:val="ListBullet"/>
      </w:pPr>
      <w:r>
        <w:rPr>
          <w:rFonts w:ascii="Calibri" w:hAnsi="Calibri"/>
          <w:color w:val="1F2937"/>
          <w:sz w:val="22"/>
        </w:rPr>
        <w:t>before IRN generation: correct the underlying business document through the approved SAP process;</w:t>
      </w:r>
    </w:p>
    <w:p>
      <w:pPr>
        <w:pStyle w:val="ListBullet"/>
      </w:pPr>
      <w:r>
        <w:rPr>
          <w:rFonts w:ascii="Calibri" w:hAnsi="Calibri"/>
          <w:color w:val="1F2937"/>
          <w:sz w:val="22"/>
        </w:rPr>
        <w:t>within the statutory cancellation window: cancel IRN and reissue as permitted;</w:t>
      </w:r>
    </w:p>
    <w:p>
      <w:pPr>
        <w:pStyle w:val="ListBullet"/>
      </w:pPr>
      <w:r>
        <w:rPr>
          <w:rFonts w:ascii="Calibri" w:hAnsi="Calibri"/>
          <w:color w:val="1F2937"/>
          <w:sz w:val="22"/>
        </w:rPr>
        <w:t>outside the cancellation window: use the approved credit/debit-note or business correction route;</w:t>
      </w:r>
    </w:p>
    <w:p>
      <w:pPr>
        <w:pStyle w:val="ListBullet"/>
      </w:pPr>
      <w:r>
        <w:rPr>
          <w:rFonts w:ascii="Calibri" w:hAnsi="Calibri"/>
          <w:color w:val="1F2937"/>
          <w:sz w:val="22"/>
        </w:rPr>
        <w:t>when an active E-Way Bill blocks action: resolve the statutory dependency first.</w:t>
      </w:r>
    </w:p>
    <w:p>
      <w:pPr>
        <w:widowControl/>
      </w:pPr>
      <w:r>
        <w:rPr>
          <w:rFonts w:ascii="Calibri" w:hAnsi="Calibri"/>
          <w:b/>
          <w:color w:val="1F2937"/>
          <w:sz w:val="22"/>
        </w:rPr>
        <w:t>Rules</w:t>
      </w:r>
    </w:p>
    <w:p>
      <w:pPr>
        <w:pStyle w:val="ListBullet"/>
      </w:pPr>
      <w:r>
        <w:rPr>
          <w:rFonts w:ascii="Calibri" w:hAnsi="Calibri"/>
          <w:color w:val="1F2937"/>
          <w:sz w:val="22"/>
        </w:rPr>
        <w:t>an issued IRN is not amended in place;</w:t>
      </w:r>
    </w:p>
    <w:p>
      <w:pPr>
        <w:pStyle w:val="ListBullet"/>
      </w:pPr>
      <w:r>
        <w:rPr>
          <w:rFonts w:ascii="Calibri" w:hAnsi="Calibri"/>
          <w:color w:val="1F2937"/>
          <w:sz w:val="22"/>
        </w:rPr>
        <w:t>calculate eligibility server-side using the authoritative timestamp;</w:t>
      </w:r>
    </w:p>
    <w:p>
      <w:pPr>
        <w:pStyle w:val="ListBullet"/>
      </w:pPr>
      <w:r>
        <w:rPr>
          <w:rFonts w:ascii="Calibri" w:hAnsi="Calibri"/>
          <w:color w:val="1F2937"/>
          <w:sz w:val="22"/>
        </w:rPr>
        <w:t>capture statutory reason, caller, previous state and new state;</w:t>
      </w:r>
    </w:p>
    <w:p>
      <w:pPr>
        <w:pStyle w:val="ListBullet"/>
      </w:pPr>
      <w:r>
        <w:rPr>
          <w:rFonts w:ascii="Calibri" w:hAnsi="Calibri"/>
          <w:color w:val="1F2937"/>
          <w:sz w:val="22"/>
        </w:rPr>
        <w:t>prevent duplicate cancellation or reissue;</w:t>
      </w:r>
    </w:p>
    <w:p>
      <w:pPr>
        <w:pStyle w:val="ListBullet"/>
      </w:pPr>
      <w:r>
        <w:rPr>
          <w:rFonts w:ascii="Calibri" w:hAnsi="Calibri"/>
          <w:color w:val="1F2937"/>
          <w:sz w:val="22"/>
        </w:rPr>
        <w:t>keep statutory-call credentials outside application tables.</w:t>
      </w:r>
    </w:p>
    <w:p>
      <w:pPr>
        <w:widowControl/>
      </w:pPr>
      <w:r>
        <w:rPr>
          <w:rFonts w:ascii="Calibri" w:hAnsi="Calibri"/>
          <w:b/>
          <w:color w:val="1F2937"/>
          <w:sz w:val="22"/>
        </w:rPr>
        <w:t>Primary validations:</w:t>
      </w:r>
      <w:r>
        <w:rPr>
          <w:rFonts w:ascii="Calibri" w:hAnsi="Calibri"/>
          <w:color w:val="1F2937"/>
          <w:sz w:val="22"/>
        </w:rPr>
        <w:t xml:space="preserve"> V-02, V-03, V-14, V-22, V-24 and V-28.</w:t>
      </w:r>
    </w:p>
    <w:p>
      <w:pPr>
        <w:pStyle w:val="Heading2"/>
      </w:pPr>
      <w:r>
        <w:rPr>
          <w:rFonts w:ascii="Calibri" w:hAnsi="Calibri"/>
          <w:color w:val="2E74B5"/>
          <w:sz w:val="26"/>
        </w:rPr>
        <w:t>API-09 - E-Way Bill extension</w:t>
      </w:r>
    </w:p>
    <w:p>
      <w:pPr>
        <w:widowControl/>
      </w:pPr>
      <w:r>
        <w:rPr>
          <w:rFonts w:ascii="Calibri" w:hAnsi="Calibri"/>
          <w:b/>
          <w:color w:val="1F2937"/>
          <w:sz w:val="22"/>
        </w:rPr>
        <w:t>Purpose:</w:t>
      </w:r>
      <w:r>
        <w:rPr>
          <w:rFonts w:ascii="Calibri" w:hAnsi="Calibri"/>
          <w:color w:val="1F2937"/>
          <w:sz w:val="22"/>
        </w:rPr>
        <w:t xml:space="preserve"> Extend an eligible E-Way Bill using current vehicle location and an approved reason.</w:t>
      </w:r>
    </w:p>
    <w:p>
      <w:pPr>
        <w:widowControl/>
      </w:pPr>
      <w:r>
        <w:rPr>
          <w:rFonts w:ascii="Calibri" w:hAnsi="Calibri"/>
          <w:b/>
          <w:color w:val="1F2937"/>
          <w:sz w:val="22"/>
        </w:rPr>
        <w:t>Candidate class:</w:t>
      </w:r>
      <w:r>
        <w:rPr>
          <w:rFonts w:ascii="Calibri" w:hAnsi="Calibri"/>
          <w:color w:val="1F2937"/>
          <w:sz w:val="22"/>
        </w:rPr>
        <w:t xml:space="preserve"> S if delivered Document Compliance functionality is available; X for a custom CPI/ABAP statutory route.</w:t>
      </w:r>
    </w:p>
    <w:p>
      <w:pPr>
        <w:widowControl/>
      </w:pPr>
      <w:r>
        <w:rPr>
          <w:rFonts w:ascii="Calibri" w:hAnsi="Calibri"/>
          <w:b/>
          <w:color w:val="1F2937"/>
          <w:sz w:val="22"/>
        </w:rPr>
        <w:t>Candidate inputs</w:t>
      </w:r>
    </w:p>
    <w:p>
      <w:pPr>
        <w:pStyle w:val="ListBullet"/>
      </w:pPr>
      <w:r>
        <w:rPr>
          <w:rFonts w:ascii="Calibri" w:hAnsi="Calibri"/>
          <w:color w:val="1F2937"/>
          <w:sz w:val="22"/>
        </w:rPr>
        <w:t>E-Way Bill number;</w:t>
      </w:r>
    </w:p>
    <w:p>
      <w:pPr>
        <w:pStyle w:val="ListBullet"/>
      </w:pPr>
      <w:r>
        <w:rPr>
          <w:rFonts w:ascii="Calibri" w:hAnsi="Calibri"/>
          <w:color w:val="1F2937"/>
          <w:sz w:val="22"/>
        </w:rPr>
        <w:t>current vehicle location, state and PIN code;</w:t>
      </w:r>
    </w:p>
    <w:p>
      <w:pPr>
        <w:pStyle w:val="ListBullet"/>
      </w:pPr>
      <w:r>
        <w:rPr>
          <w:rFonts w:ascii="Calibri" w:hAnsi="Calibri"/>
          <w:color w:val="1F2937"/>
          <w:sz w:val="22"/>
        </w:rPr>
        <w:t>approved extension reason and remarks;</w:t>
      </w:r>
    </w:p>
    <w:p>
      <w:pPr>
        <w:pStyle w:val="ListBullet"/>
      </w:pPr>
      <w:r>
        <w:rPr>
          <w:rFonts w:ascii="Calibri" w:hAnsi="Calibri"/>
          <w:color w:val="1F2937"/>
          <w:sz w:val="22"/>
        </w:rPr>
        <w:t>current vehicle details where required by the statutory contract;</w:t>
      </w:r>
    </w:p>
    <w:p>
      <w:pPr>
        <w:pStyle w:val="ListBullet"/>
      </w:pPr>
      <w:r>
        <w:rPr>
          <w:rFonts w:ascii="Calibri" w:hAnsi="Calibri"/>
          <w:color w:val="1F2937"/>
          <w:sz w:val="22"/>
        </w:rPr>
        <w:t>external request ID and correlation ID.</w:t>
      </w:r>
    </w:p>
    <w:p>
      <w:pPr>
        <w:widowControl/>
      </w:pPr>
      <w:r>
        <w:rPr>
          <w:rFonts w:ascii="Calibri" w:hAnsi="Calibri"/>
          <w:b/>
          <w:color w:val="1F2937"/>
          <w:sz w:val="22"/>
        </w:rPr>
        <w:t>Candidate outputs</w:t>
      </w:r>
    </w:p>
    <w:p>
      <w:pPr>
        <w:pStyle w:val="ListBullet"/>
      </w:pPr>
      <w:r>
        <w:rPr>
          <w:rFonts w:ascii="Calibri" w:hAnsi="Calibri"/>
          <w:color w:val="1F2937"/>
          <w:sz w:val="22"/>
        </w:rPr>
        <w:t>prior and extended validity;</w:t>
      </w:r>
    </w:p>
    <w:p>
      <w:pPr>
        <w:pStyle w:val="ListBullet"/>
      </w:pPr>
      <w:r>
        <w:rPr>
          <w:rFonts w:ascii="Calibri" w:hAnsi="Calibri"/>
          <w:color w:val="1F2937"/>
          <w:sz w:val="22"/>
        </w:rPr>
        <w:t>statutory acknowledgement/status;</w:t>
      </w:r>
    </w:p>
    <w:p>
      <w:pPr>
        <w:pStyle w:val="ListBullet"/>
      </w:pPr>
      <w:r>
        <w:rPr>
          <w:rFonts w:ascii="Calibri" w:hAnsi="Calibri"/>
          <w:color w:val="1F2937"/>
          <w:sz w:val="22"/>
        </w:rPr>
        <w:t>audit reference and correlation ID.</w:t>
      </w:r>
    </w:p>
    <w:p>
      <w:pPr>
        <w:widowControl/>
      </w:pPr>
      <w:r>
        <w:rPr>
          <w:rFonts w:ascii="Calibri" w:hAnsi="Calibri"/>
          <w:b/>
          <w:color w:val="1F2937"/>
          <w:sz w:val="22"/>
        </w:rPr>
        <w:t>Rules</w:t>
      </w:r>
    </w:p>
    <w:p>
      <w:pPr>
        <w:pStyle w:val="ListBullet"/>
      </w:pPr>
      <w:r>
        <w:rPr>
          <w:rFonts w:ascii="Calibri" w:hAnsi="Calibri"/>
          <w:color w:val="1F2937"/>
          <w:sz w:val="22"/>
        </w:rPr>
        <w:t>transport mode is Road only;</w:t>
      </w:r>
    </w:p>
    <w:p>
      <w:pPr>
        <w:pStyle w:val="ListBullet"/>
      </w:pPr>
      <w:r>
        <w:rPr>
          <w:rFonts w:ascii="Calibri" w:hAnsi="Calibri"/>
          <w:color w:val="1F2937"/>
          <w:sz w:val="22"/>
        </w:rPr>
        <w:t>each approved extension is 24 hours;</w:t>
      </w:r>
    </w:p>
    <w:p>
      <w:pPr>
        <w:pStyle w:val="ListBullet"/>
      </w:pPr>
      <w:r>
        <w:rPr>
          <w:rFonts w:ascii="Calibri" w:hAnsi="Calibri"/>
          <w:color w:val="1F2937"/>
          <w:sz w:val="22"/>
        </w:rPr>
        <w:t>repeated extensions are allowed only when statutory eligibility is satisfied;</w:t>
      </w:r>
    </w:p>
    <w:p>
      <w:pPr>
        <w:pStyle w:val="ListBullet"/>
      </w:pPr>
      <w:r>
        <w:rPr>
          <w:rFonts w:ascii="Calibri" w:hAnsi="Calibri"/>
          <w:color w:val="1F2937"/>
          <w:sz w:val="22"/>
        </w:rPr>
        <w:t>vehicle change is Part B update, not extension;</w:t>
      </w:r>
    </w:p>
    <w:p>
      <w:pPr>
        <w:pStyle w:val="ListBullet"/>
      </w:pPr>
      <w:r>
        <w:rPr>
          <w:rFonts w:ascii="Calibri" w:hAnsi="Calibri"/>
          <w:color w:val="1F2937"/>
          <w:sz w:val="22"/>
        </w:rPr>
        <w:t>validate the active E-Way Bill and server time;</w:t>
      </w:r>
    </w:p>
    <w:p>
      <w:pPr>
        <w:pStyle w:val="ListBullet"/>
      </w:pPr>
      <w:r>
        <w:rPr>
          <w:rFonts w:ascii="Calibri" w:hAnsi="Calibri"/>
          <w:color w:val="1F2937"/>
          <w:sz w:val="22"/>
        </w:rPr>
        <w:t>preserve the statutory response and audit history.</w:t>
      </w:r>
    </w:p>
    <w:p>
      <w:pPr>
        <w:widowControl/>
      </w:pPr>
      <w:r>
        <w:rPr>
          <w:rFonts w:ascii="Calibri" w:hAnsi="Calibri"/>
          <w:b/>
          <w:color w:val="1F2937"/>
          <w:sz w:val="22"/>
        </w:rPr>
        <w:t>Primary validations:</w:t>
      </w:r>
      <w:r>
        <w:rPr>
          <w:rFonts w:ascii="Calibri" w:hAnsi="Calibri"/>
          <w:color w:val="1F2937"/>
          <w:sz w:val="22"/>
        </w:rPr>
        <w:t xml:space="preserve"> V-02, V-03, V-13, V-14 and V-20.</w:t>
      </w:r>
    </w:p>
    <w:p>
      <w:pPr>
        <w:pStyle w:val="Heading2"/>
      </w:pPr>
      <w:r>
        <w:rPr>
          <w:rFonts w:ascii="Calibri" w:hAnsi="Calibri"/>
          <w:color w:val="2E74B5"/>
          <w:sz w:val="26"/>
        </w:rPr>
        <w:t>API-10 - Modify DI</w:t>
      </w:r>
    </w:p>
    <w:p>
      <w:pPr>
        <w:widowControl/>
      </w:pPr>
      <w:r>
        <w:rPr>
          <w:rFonts w:ascii="Calibri" w:hAnsi="Calibri"/>
          <w:b/>
          <w:color w:val="1F2937"/>
          <w:sz w:val="22"/>
        </w:rPr>
        <w:t>Purpose:</w:t>
      </w:r>
      <w:r>
        <w:rPr>
          <w:rFonts w:ascii="Calibri" w:hAnsi="Calibri"/>
          <w:color w:val="1F2937"/>
          <w:sz w:val="22"/>
        </w:rPr>
        <w:t xml:space="preserve"> Change an open outbound delivery before goods issue.</w:t>
      </w:r>
    </w:p>
    <w:p>
      <w:pPr>
        <w:widowControl/>
      </w:pPr>
      <w:r>
        <w:rPr>
          <w:rFonts w:ascii="Calibri" w:hAnsi="Calibri"/>
          <w:b/>
          <w:color w:val="1F2937"/>
          <w:sz w:val="22"/>
        </w:rPr>
        <w:t>Candidate class:</w:t>
      </w:r>
      <w:r>
        <w:rPr>
          <w:rFonts w:ascii="Calibri" w:hAnsi="Calibri"/>
          <w:color w:val="1F2937"/>
          <w:sz w:val="22"/>
        </w:rPr>
        <w:t xml:space="preserve"> S - standard delivery change.</w:t>
      </w:r>
    </w:p>
    <w:p>
      <w:pPr>
        <w:widowControl/>
      </w:pPr>
      <w:r>
        <w:rPr>
          <w:rFonts w:ascii="Calibri" w:hAnsi="Calibri"/>
          <w:b/>
          <w:color w:val="1F2937"/>
          <w:sz w:val="22"/>
        </w:rPr>
        <w:t>Candidate SAP mechanism:</w:t>
      </w:r>
      <w:r>
        <w:rPr>
          <w:rFonts w:ascii="Calibri" w:hAnsi="Calibri"/>
          <w:color w:val="1F2937"/>
          <w:sz w:val="22"/>
        </w:rPr>
        <w:t xml:space="preserve"> </w:t>
      </w:r>
      <w:r>
        <w:rPr>
          <w:rFonts w:ascii="Consolas" w:hAnsi="Consolas"/>
          <w:color w:val="1F4D78"/>
          <w:sz w:val="20"/>
        </w:rPr>
        <w:t>BAPI_OUTB_DELIVERY_CHANGE</w:t>
      </w:r>
      <w:r>
        <w:rPr>
          <w:rFonts w:ascii="Calibri" w:hAnsi="Calibri"/>
          <w:color w:val="1F2937"/>
          <w:sz w:val="22"/>
        </w:rPr>
        <w:t xml:space="preserve"> or a permitted released delivery-change API.</w:t>
      </w:r>
    </w:p>
    <w:p>
      <w:pPr>
        <w:widowControl/>
      </w:pPr>
      <w:r>
        <w:rPr>
          <w:rFonts w:ascii="Calibri" w:hAnsi="Calibri"/>
          <w:b/>
          <w:color w:val="1F2937"/>
          <w:sz w:val="22"/>
        </w:rPr>
        <w:t>Candidate inputs</w:t>
      </w:r>
    </w:p>
    <w:p>
      <w:pPr>
        <w:pStyle w:val="ListBullet"/>
      </w:pPr>
      <w:r>
        <w:rPr>
          <w:rFonts w:ascii="Calibri" w:hAnsi="Calibri"/>
          <w:color w:val="1F2937"/>
          <w:sz w:val="22"/>
        </w:rPr>
        <w:t>outbound-delivery number and item;</w:t>
      </w:r>
    </w:p>
    <w:p>
      <w:pPr>
        <w:pStyle w:val="ListBullet"/>
      </w:pPr>
      <w:r>
        <w:rPr>
          <w:rFonts w:ascii="Calibri" w:hAnsi="Calibri"/>
          <w:color w:val="1F2937"/>
          <w:sz w:val="22"/>
        </w:rPr>
        <w:t>revised quantity;</w:t>
      </w:r>
    </w:p>
    <w:p>
      <w:pPr>
        <w:pStyle w:val="ListBullet"/>
      </w:pPr>
      <w:r>
        <w:rPr>
          <w:rFonts w:ascii="Calibri" w:hAnsi="Calibri"/>
          <w:color w:val="1F2937"/>
          <w:sz w:val="22"/>
        </w:rPr>
        <w:t>batch reallocation or logistics attributes only if explicitly approved;</w:t>
      </w:r>
    </w:p>
    <w:p>
      <w:pPr>
        <w:pStyle w:val="ListBullet"/>
      </w:pPr>
      <w:r>
        <w:rPr>
          <w:rFonts w:ascii="Calibri" w:hAnsi="Calibri"/>
          <w:color w:val="1F2937"/>
          <w:sz w:val="22"/>
        </w:rPr>
        <w:t>change reason;</w:t>
      </w:r>
    </w:p>
    <w:p>
      <w:pPr>
        <w:pStyle w:val="ListBullet"/>
      </w:pPr>
      <w:r>
        <w:rPr>
          <w:rFonts w:ascii="Calibri" w:hAnsi="Calibri"/>
          <w:color w:val="1F2937"/>
          <w:sz w:val="22"/>
        </w:rPr>
        <w:t>external request ID and correlation ID.</w:t>
      </w:r>
    </w:p>
    <w:p>
      <w:pPr>
        <w:widowControl/>
      </w:pPr>
      <w:r>
        <w:rPr>
          <w:rFonts w:ascii="Calibri" w:hAnsi="Calibri"/>
          <w:b/>
          <w:color w:val="1F2937"/>
          <w:sz w:val="22"/>
        </w:rPr>
        <w:t>Candidate outputs</w:t>
      </w:r>
    </w:p>
    <w:p>
      <w:pPr>
        <w:pStyle w:val="ListBullet"/>
      </w:pPr>
      <w:r>
        <w:rPr>
          <w:rFonts w:ascii="Calibri" w:hAnsi="Calibri"/>
          <w:color w:val="1F2937"/>
          <w:sz w:val="22"/>
        </w:rPr>
        <w:t>delivery and item status;</w:t>
      </w:r>
    </w:p>
    <w:p>
      <w:pPr>
        <w:pStyle w:val="ListBullet"/>
      </w:pPr>
      <w:r>
        <w:rPr>
          <w:rFonts w:ascii="Calibri" w:hAnsi="Calibri"/>
          <w:color w:val="1F2937"/>
          <w:sz w:val="22"/>
        </w:rPr>
        <w:t>revised quantities;</w:t>
      </w:r>
    </w:p>
    <w:p>
      <w:pPr>
        <w:pStyle w:val="ListBullet"/>
      </w:pPr>
      <w:r>
        <w:rPr>
          <w:rFonts w:ascii="Calibri" w:hAnsi="Calibri"/>
          <w:color w:val="1F2937"/>
          <w:sz w:val="22"/>
        </w:rPr>
        <w:t>warnings and rejected fields.</w:t>
      </w:r>
    </w:p>
    <w:p>
      <w:pPr>
        <w:widowControl/>
      </w:pPr>
      <w:r>
        <w:rPr>
          <w:rFonts w:ascii="Calibri" w:hAnsi="Calibri"/>
          <w:b/>
          <w:color w:val="1F2937"/>
          <w:sz w:val="22"/>
        </w:rPr>
        <w:t>Rules</w:t>
      </w:r>
    </w:p>
    <w:p>
      <w:pPr>
        <w:pStyle w:val="ListBullet"/>
      </w:pPr>
      <w:r>
        <w:rPr>
          <w:rFonts w:ascii="Calibri" w:hAnsi="Calibri"/>
          <w:color w:val="1F2937"/>
          <w:sz w:val="22"/>
        </w:rPr>
        <w:t>reject changes after goods issue or another approved lock status;</w:t>
      </w:r>
    </w:p>
    <w:p>
      <w:pPr>
        <w:pStyle w:val="ListBullet"/>
      </w:pPr>
      <w:r>
        <w:rPr>
          <w:rFonts w:ascii="Calibri" w:hAnsi="Calibri"/>
          <w:color w:val="1F2937"/>
          <w:sz w:val="22"/>
        </w:rPr>
        <w:t>meeting decision D-005 currently supports only open DI quantity editing before batch determination;</w:t>
      </w:r>
    </w:p>
    <w:p>
      <w:pPr>
        <w:pStyle w:val="ListBullet"/>
      </w:pPr>
      <w:r>
        <w:rPr>
          <w:rFonts w:ascii="Calibri" w:hAnsi="Calibri"/>
          <w:color w:val="1F2937"/>
          <w:sz w:val="22"/>
        </w:rPr>
        <w:t>the broader proposal for batch reallocation and vehicle substitution is not approved;</w:t>
      </w:r>
    </w:p>
    <w:p>
      <w:pPr>
        <w:pStyle w:val="ListBullet"/>
      </w:pPr>
      <w:r>
        <w:rPr>
          <w:rFonts w:ascii="Calibri" w:hAnsi="Calibri"/>
          <w:color w:val="1F2937"/>
          <w:sz w:val="22"/>
        </w:rPr>
        <w:t>enforce one storage location and exact batch-total rules if those fields enter scope;</w:t>
      </w:r>
    </w:p>
    <w:p>
      <w:pPr>
        <w:pStyle w:val="ListBullet"/>
      </w:pPr>
      <w:r>
        <w:rPr>
          <w:rFonts w:ascii="Calibri" w:hAnsi="Calibri"/>
          <w:color w:val="1F2937"/>
          <w:sz w:val="22"/>
        </w:rPr>
        <w:t>preserve before/after audit.</w:t>
      </w:r>
    </w:p>
    <w:p>
      <w:pPr>
        <w:widowControl/>
      </w:pPr>
      <w:r>
        <w:rPr>
          <w:rFonts w:ascii="Calibri" w:hAnsi="Calibri"/>
          <w:b/>
          <w:color w:val="1F2937"/>
          <w:sz w:val="22"/>
        </w:rPr>
        <w:t>Primary validations:</w:t>
      </w:r>
      <w:r>
        <w:rPr>
          <w:rFonts w:ascii="Calibri" w:hAnsi="Calibri"/>
          <w:color w:val="1F2937"/>
          <w:sz w:val="22"/>
        </w:rPr>
        <w:t xml:space="preserve"> V-05, V-11, V-20, V-25, V-26 and V-27.</w:t>
      </w:r>
    </w:p>
    <w:p>
      <w:r>
        <w:br w:type="page"/>
      </w:r>
    </w:p>
    <w:p>
      <w:pPr>
        <w:pStyle w:val="Heading1"/>
      </w:pPr>
      <w:r>
        <w:rPr>
          <w:rFonts w:ascii="Calibri" w:hAnsi="Calibri"/>
          <w:color w:val="2E74B5"/>
          <w:sz w:val="32"/>
        </w:rPr>
        <w:t>8. Service and ABAP layering proposal</w:t>
      </w:r>
    </w:p>
    <w:p>
      <w:pPr>
        <w:pStyle w:val="Heading2"/>
      </w:pPr>
      <w:r>
        <w:rPr>
          <w:rFonts w:ascii="Calibri" w:hAnsi="Calibri"/>
          <w:color w:val="2E74B5"/>
          <w:sz w:val="26"/>
        </w:rPr>
        <w:t>8.1 Candidate service groups</w:t>
      </w:r>
    </w:p>
    <w:p>
      <w:pPr>
        <w:pStyle w:val="ListBullet"/>
      </w:pPr>
      <w:r>
        <w:rPr>
          <w:rFonts w:ascii="Consolas" w:hAnsi="Consolas"/>
          <w:color w:val="1F4D78"/>
          <w:sz w:val="20"/>
        </w:rPr>
        <w:t>ZCNF_RECEIPT_SRV</w:t>
      </w:r>
      <w:r>
        <w:rPr>
          <w:rFonts w:ascii="Calibri" w:hAnsi="Calibri"/>
          <w:color w:val="1F2937"/>
          <w:sz w:val="22"/>
        </w:rPr>
        <w:t>: API-01 and API-02.</w:t>
      </w:r>
    </w:p>
    <w:p>
      <w:pPr>
        <w:pStyle w:val="ListBullet"/>
      </w:pPr>
      <w:r>
        <w:rPr>
          <w:rFonts w:ascii="Consolas" w:hAnsi="Consolas"/>
          <w:color w:val="1F4D78"/>
          <w:sz w:val="20"/>
        </w:rPr>
        <w:t>ZCNF_DELIVERY_SRV</w:t>
      </w:r>
      <w:r>
        <w:rPr>
          <w:rFonts w:ascii="Calibri" w:hAnsi="Calibri"/>
          <w:color w:val="1F2937"/>
          <w:sz w:val="22"/>
        </w:rPr>
        <w:t>: API-03 and API-10.</w:t>
      </w:r>
    </w:p>
    <w:p>
      <w:pPr>
        <w:pStyle w:val="ListBullet"/>
      </w:pPr>
      <w:r>
        <w:rPr>
          <w:rFonts w:ascii="Consolas" w:hAnsi="Consolas"/>
          <w:color w:val="1F4D78"/>
          <w:sz w:val="20"/>
        </w:rPr>
        <w:t>ZCNF_STOCK_SRV</w:t>
      </w:r>
      <w:r>
        <w:rPr>
          <w:rFonts w:ascii="Calibri" w:hAnsi="Calibri"/>
          <w:color w:val="1F2937"/>
          <w:sz w:val="22"/>
        </w:rPr>
        <w:t>: API-04.</w:t>
      </w:r>
    </w:p>
    <w:p>
      <w:pPr>
        <w:pStyle w:val="ListBullet"/>
      </w:pPr>
      <w:r>
        <w:rPr>
          <w:rFonts w:ascii="Consolas" w:hAnsi="Consolas"/>
          <w:color w:val="1F4D78"/>
          <w:sz w:val="20"/>
        </w:rPr>
        <w:t>ZCNF_DISPATCH_SRV</w:t>
      </w:r>
      <w:r>
        <w:rPr>
          <w:rFonts w:ascii="Calibri" w:hAnsi="Calibri"/>
          <w:color w:val="1F2937"/>
          <w:sz w:val="22"/>
        </w:rPr>
        <w:t>: API-05.</w:t>
      </w:r>
    </w:p>
    <w:p>
      <w:pPr>
        <w:pStyle w:val="ListBullet"/>
      </w:pPr>
      <w:r>
        <w:rPr>
          <w:rFonts w:ascii="Consolas" w:hAnsi="Consolas"/>
          <w:color w:val="1F4D78"/>
          <w:sz w:val="20"/>
        </w:rPr>
        <w:t>ZCNF_BILLING_SRV</w:t>
      </w:r>
      <w:r>
        <w:rPr>
          <w:rFonts w:ascii="Calibri" w:hAnsi="Calibri"/>
          <w:color w:val="1F2937"/>
          <w:sz w:val="22"/>
        </w:rPr>
        <w:t>: API-06 and API-07.</w:t>
      </w:r>
    </w:p>
    <w:p>
      <w:pPr>
        <w:pStyle w:val="ListBullet"/>
      </w:pPr>
      <w:r>
        <w:rPr>
          <w:rFonts w:ascii="Consolas" w:hAnsi="Consolas"/>
          <w:color w:val="1F4D78"/>
          <w:sz w:val="20"/>
        </w:rPr>
        <w:t>ZCNF_EDOC_SRV</w:t>
      </w:r>
      <w:r>
        <w:rPr>
          <w:rFonts w:ascii="Calibri" w:hAnsi="Calibri"/>
          <w:color w:val="1F2937"/>
          <w:sz w:val="22"/>
        </w:rPr>
        <w:t>: API-08 and API-09.</w:t>
      </w:r>
    </w:p>
    <w:p>
      <w:pPr>
        <w:pStyle w:val="Heading2"/>
      </w:pPr>
      <w:r>
        <w:rPr>
          <w:rFonts w:ascii="Calibri" w:hAnsi="Calibri"/>
          <w:color w:val="2E74B5"/>
          <w:sz w:val="26"/>
        </w:rPr>
        <w:t>8.2 Internal layering</w:t>
      </w:r>
    </w:p>
    <w:p>
      <w:pPr>
        <w:widowControl/>
      </w:pPr>
      <w:r>
        <w:rPr>
          <w:rFonts w:ascii="Calibri" w:hAnsi="Calibri"/>
          <w:color w:val="1F2937"/>
          <w:sz w:val="22"/>
        </w:rPr>
        <w:t>Gateway or released-service adapter -&gt; contract mapper -&gt; application service -&gt; validator -&gt; standard-API wrapper/query provider -&gt; SAP standard object.</w:t>
      </w:r>
    </w:p>
    <w:p>
      <w:pPr>
        <w:widowControl/>
      </w:pPr>
      <w:r>
        <w:rPr>
          <w:rFonts w:ascii="Calibri" w:hAnsi="Calibri"/>
          <w:color w:val="1F2937"/>
          <w:sz w:val="22"/>
        </w:rPr>
        <w:t>Gateway classes should remain thin. Business rules, idempotency, locking, document-flow composition and orchestration belong in testable application services. Standard APIs should be wrapped behind small interfaces so an API/BAPI choice can change after release inspection without changing the external contract.</w:t>
      </w:r>
    </w:p>
    <w:p>
      <w:pPr>
        <w:pStyle w:val="Heading2"/>
      </w:pPr>
      <w:r>
        <w:rPr>
          <w:rFonts w:ascii="Calibri" w:hAnsi="Calibri"/>
          <w:color w:val="2E74B5"/>
          <w:sz w:val="26"/>
        </w:rPr>
        <w:t>8.3 Shared components</w:t>
      </w:r>
    </w:p>
    <w:p>
      <w:pPr>
        <w:pStyle w:val="ListBullet"/>
      </w:pPr>
      <w:r>
        <w:rPr>
          <w:rFonts w:ascii="Calibri" w:hAnsi="Calibri"/>
          <w:color w:val="1F2937"/>
          <w:sz w:val="22"/>
        </w:rPr>
        <w:t>request/correlation context;</w:t>
      </w:r>
    </w:p>
    <w:p>
      <w:pPr>
        <w:pStyle w:val="ListBullet"/>
      </w:pPr>
      <w:r>
        <w:rPr>
          <w:rFonts w:ascii="Calibri" w:hAnsi="Calibri"/>
          <w:color w:val="1F2937"/>
          <w:sz w:val="22"/>
        </w:rPr>
        <w:t>idempotency store and lock manager;</w:t>
      </w:r>
    </w:p>
    <w:p>
      <w:pPr>
        <w:pStyle w:val="ListBullet"/>
      </w:pPr>
      <w:r>
        <w:rPr>
          <w:rFonts w:ascii="Calibri" w:hAnsi="Calibri"/>
          <w:color w:val="1F2937"/>
          <w:sz w:val="22"/>
        </w:rPr>
        <w:t>stable error builder;</w:t>
      </w:r>
    </w:p>
    <w:p>
      <w:pPr>
        <w:pStyle w:val="ListBullet"/>
      </w:pPr>
      <w:r>
        <w:rPr>
          <w:rFonts w:ascii="Calibri" w:hAnsi="Calibri"/>
          <w:color w:val="1F2937"/>
          <w:sz w:val="22"/>
        </w:rPr>
        <w:t>application log integration;</w:t>
      </w:r>
    </w:p>
    <w:p>
      <w:pPr>
        <w:pStyle w:val="ListBullet"/>
      </w:pPr>
      <w:r>
        <w:rPr>
          <w:rFonts w:ascii="Calibri" w:hAnsi="Calibri"/>
          <w:color w:val="1F2937"/>
          <w:sz w:val="22"/>
        </w:rPr>
        <w:t>authorisation checks;</w:t>
      </w:r>
    </w:p>
    <w:p>
      <w:pPr>
        <w:pStyle w:val="ListBullet"/>
      </w:pPr>
      <w:r>
        <w:rPr>
          <w:rFonts w:ascii="Calibri" w:hAnsi="Calibri"/>
          <w:color w:val="1F2937"/>
          <w:sz w:val="22"/>
        </w:rPr>
        <w:t>quantity, UOM, date and key normalisation;</w:t>
      </w:r>
    </w:p>
    <w:p>
      <w:pPr>
        <w:pStyle w:val="ListBullet"/>
      </w:pPr>
      <w:r>
        <w:rPr>
          <w:rFonts w:ascii="Calibri" w:hAnsi="Calibri"/>
          <w:color w:val="1F2937"/>
          <w:sz w:val="22"/>
        </w:rPr>
        <w:t>document-flow reader;</w:t>
      </w:r>
    </w:p>
    <w:p>
      <w:pPr>
        <w:pStyle w:val="ListBullet"/>
      </w:pPr>
      <w:r>
        <w:rPr>
          <w:rFonts w:ascii="Calibri" w:hAnsi="Calibri"/>
          <w:color w:val="1F2937"/>
          <w:sz w:val="22"/>
        </w:rPr>
        <w:t>statutory-call abstraction;</w:t>
      </w:r>
    </w:p>
    <w:p>
      <w:pPr>
        <w:pStyle w:val="ListBullet"/>
      </w:pPr>
      <w:r>
        <w:rPr>
          <w:rFonts w:ascii="Calibri" w:hAnsi="Calibri"/>
          <w:color w:val="1F2937"/>
          <w:sz w:val="22"/>
        </w:rPr>
        <w:t>contract-version compatibility layer.</w:t>
      </w:r>
    </w:p>
    <w:p>
      <w:r>
        <w:br w:type="page"/>
      </w:r>
    </w:p>
    <w:p>
      <w:pPr>
        <w:pStyle w:val="Heading1"/>
      </w:pPr>
      <w:r>
        <w:rPr>
          <w:rFonts w:ascii="Calibri" w:hAnsi="Calibri"/>
          <w:color w:val="2E74B5"/>
          <w:sz w:val="32"/>
        </w:rPr>
        <w:t>9. Indicative effort and sequencing</w:t>
      </w:r>
    </w:p>
    <w:tbl>
      <w:tblPr>
        <w:tblStyle w:val="TableGrid"/>
        <w:tblW w:type="dxa" w:w="9360"/>
        <w:jc w:val="left"/>
        <w:tblLayout w:type="fixed"/>
        <w:tblLook w:firstColumn="1" w:firstRow="1" w:lastColumn="0" w:lastRow="0" w:noHBand="0" w:noVBand="1" w:val="04A0"/>
        <w:tblInd w:w="120" w:type="dxa"/>
        <w:tblBorders>
          <w:top w:val="single" w:sz="4" w:color="C9D2DC"/>
          <w:left w:val="single" w:sz="4" w:color="C9D2DC"/>
          <w:bottom w:val="single" w:sz="4" w:color="C9D2DC"/>
          <w:right w:val="single" w:sz="4" w:color="C9D2DC"/>
          <w:insideH w:val="single" w:sz="4" w:color="C9D2DC"/>
          <w:insideV w:val="single" w:sz="4" w:color="C9D2DC"/>
        </w:tblBorders>
      </w:tblPr>
      <w:tblGrid>
        <w:gridCol w:w="900"/>
        <w:gridCol w:w="2200"/>
        <w:gridCol w:w="1100"/>
        <w:gridCol w:w="1600"/>
        <w:gridCol w:w="3560"/>
      </w:tblGrid>
      <w:tr>
        <w:trPr>
          <w:tblHeader w:val="true"/>
        </w:trPr>
        <w:tc>
          <w:tcPr>
            <w:tcW w:type="dxa" w:w="900"/>
            <w:tcMar>
              <w:top w:w="80" w:type="dxa"/>
              <w:start w:w="120" w:type="dxa"/>
              <w:bottom w:w="80" w:type="dxa"/>
              <w:end w:w="120" w:type="dxa"/>
            </w:tcMar>
            <w:vAlign w:val="center"/>
            <w:shd w:fill="E8EEF5"/>
          </w:tcPr>
          <w:p>
            <w:pPr>
              <w:spacing w:before="0" w:after="0" w:line="240" w:lineRule="auto"/>
              <w:jc w:val="center"/>
            </w:pPr>
            <w:r>
              <w:rPr>
                <w:b/>
                <w:color w:val="1F4D78"/>
              </w:rPr>
            </w:r>
            <w:r>
              <w:rPr>
                <w:rFonts w:ascii="Calibri" w:hAnsi="Calibri"/>
                <w:b/>
                <w:color w:val="1F4D78"/>
                <w:sz w:val="17"/>
              </w:rPr>
              <w:t>Item</w:t>
            </w:r>
          </w:p>
        </w:tc>
        <w:tc>
          <w:tcPr>
            <w:tcW w:type="dxa" w:w="2200"/>
            <w:tcMar>
              <w:top w:w="80" w:type="dxa"/>
              <w:start w:w="120" w:type="dxa"/>
              <w:bottom w:w="80" w:type="dxa"/>
              <w:end w:w="120" w:type="dxa"/>
            </w:tcMar>
            <w:vAlign w:val="center"/>
            <w:shd w:fill="E8EEF5"/>
          </w:tcPr>
          <w:p>
            <w:pPr>
              <w:spacing w:before="0" w:after="0" w:line="240" w:lineRule="auto"/>
              <w:jc w:val="left"/>
            </w:pPr>
            <w:r>
              <w:rPr>
                <w:b/>
                <w:color w:val="1F4D78"/>
              </w:rPr>
            </w:r>
            <w:r>
              <w:rPr>
                <w:rFonts w:ascii="Calibri" w:hAnsi="Calibri"/>
                <w:b/>
                <w:color w:val="1F4D78"/>
                <w:sz w:val="17"/>
              </w:rPr>
              <w:t>Class</w:t>
            </w:r>
          </w:p>
        </w:tc>
        <w:tc>
          <w:tcPr>
            <w:tcW w:type="dxa" w:w="1100"/>
            <w:tcMar>
              <w:top w:w="80" w:type="dxa"/>
              <w:start w:w="120" w:type="dxa"/>
              <w:bottom w:w="80" w:type="dxa"/>
              <w:end w:w="120" w:type="dxa"/>
            </w:tcMar>
            <w:vAlign w:val="center"/>
            <w:shd w:fill="E8EEF5"/>
          </w:tcPr>
          <w:p>
            <w:pPr>
              <w:spacing w:before="0" w:after="0" w:line="240" w:lineRule="auto"/>
              <w:jc w:val="left"/>
            </w:pPr>
            <w:r>
              <w:rPr>
                <w:b/>
                <w:color w:val="1F4D78"/>
              </w:rPr>
            </w:r>
            <w:r>
              <w:rPr>
                <w:rFonts w:ascii="Calibri" w:hAnsi="Calibri"/>
                <w:b/>
                <w:color w:val="1F4D78"/>
                <w:sz w:val="17"/>
              </w:rPr>
              <w:t>Low days</w:t>
            </w:r>
          </w:p>
        </w:tc>
        <w:tc>
          <w:tcPr>
            <w:tcW w:type="dxa" w:w="1600"/>
            <w:tcMar>
              <w:top w:w="80" w:type="dxa"/>
              <w:start w:w="120" w:type="dxa"/>
              <w:bottom w:w="80" w:type="dxa"/>
              <w:end w:w="120" w:type="dxa"/>
            </w:tcMar>
            <w:vAlign w:val="center"/>
            <w:shd w:fill="E8EEF5"/>
          </w:tcPr>
          <w:p>
            <w:pPr>
              <w:spacing w:before="0" w:after="0" w:line="240" w:lineRule="auto"/>
              <w:jc w:val="left"/>
            </w:pPr>
            <w:r>
              <w:rPr>
                <w:b/>
                <w:color w:val="1F4D78"/>
              </w:rPr>
            </w:r>
            <w:r>
              <w:rPr>
                <w:rFonts w:ascii="Calibri" w:hAnsi="Calibri"/>
                <w:b/>
                <w:color w:val="1F4D78"/>
                <w:sz w:val="17"/>
              </w:rPr>
              <w:t>High days</w:t>
            </w:r>
          </w:p>
        </w:tc>
        <w:tc>
          <w:tcPr>
            <w:tcW w:type="dxa" w:w="3560"/>
            <w:tcMar>
              <w:top w:w="80" w:type="dxa"/>
              <w:start w:w="120" w:type="dxa"/>
              <w:bottom w:w="80" w:type="dxa"/>
              <w:end w:w="120" w:type="dxa"/>
            </w:tcMar>
            <w:vAlign w:val="center"/>
            <w:shd w:fill="E8EEF5"/>
          </w:tcPr>
          <w:p>
            <w:pPr>
              <w:spacing w:before="0" w:after="0" w:line="240" w:lineRule="auto"/>
              <w:jc w:val="left"/>
            </w:pPr>
            <w:r>
              <w:rPr>
                <w:b/>
                <w:color w:val="1F4D78"/>
              </w:rPr>
            </w:r>
            <w:r>
              <w:rPr>
                <w:rFonts w:ascii="Calibri" w:hAnsi="Calibri"/>
                <w:b/>
                <w:color w:val="1F4D78"/>
                <w:sz w:val="17"/>
              </w:rPr>
              <w:t>Note</w:t>
            </w:r>
          </w:p>
        </w:tc>
      </w:tr>
      <w:tr>
        <w:tc>
          <w:tcPr>
            <w:tcW w:type="dxa" w:w="9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Cross-cutting foundations</w:t>
            </w:r>
          </w:p>
        </w:tc>
        <w:tc>
          <w:tcPr>
            <w:tcW w:type="dxa" w:w="22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w:t>
            </w:r>
          </w:p>
        </w:tc>
        <w:tc>
          <w:tcPr>
            <w:tcW w:type="dxa" w:w="11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15</w:t>
            </w:r>
          </w:p>
        </w:tc>
        <w:tc>
          <w:tcPr>
            <w:tcW w:type="dxa" w:w="16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20</w:t>
            </w:r>
          </w:p>
        </w:tc>
        <w:tc>
          <w:tcPr>
            <w:tcW w:type="dxa" w:w="356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Idempotency, correlation, logging, errors, authorisation and type discipline</w:t>
            </w:r>
          </w:p>
        </w:tc>
      </w:tr>
      <w:tr>
        <w:tc>
          <w:tcPr>
            <w:tcW w:type="dxa" w:w="9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API-01 Check MIGO</w:t>
            </w:r>
          </w:p>
        </w:tc>
        <w:tc>
          <w:tcPr>
            <w:tcW w:type="dxa" w:w="22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C</w:t>
            </w:r>
          </w:p>
        </w:tc>
        <w:tc>
          <w:tcPr>
            <w:tcW w:type="dxa" w:w="11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8</w:t>
            </w:r>
          </w:p>
        </w:tc>
        <w:tc>
          <w:tcPr>
            <w:tcW w:type="dxa" w:w="16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12</w:t>
            </w:r>
          </w:p>
        </w:tc>
        <w:tc>
          <w:tcPr>
            <w:tcW w:type="dxa" w:w="356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Composite read</w:t>
            </w:r>
          </w:p>
        </w:tc>
      </w:tr>
      <w:tr>
        <w:tc>
          <w:tcPr>
            <w:tcW w:type="dxa" w:w="9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API-02 Submit MIGO</w:t>
            </w:r>
          </w:p>
        </w:tc>
        <w:tc>
          <w:tcPr>
            <w:tcW w:type="dxa" w:w="22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S</w:t>
            </w:r>
          </w:p>
        </w:tc>
        <w:tc>
          <w:tcPr>
            <w:tcW w:type="dxa" w:w="11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5</w:t>
            </w:r>
          </w:p>
        </w:tc>
        <w:tc>
          <w:tcPr>
            <w:tcW w:type="dxa" w:w="16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8</w:t>
            </w:r>
          </w:p>
        </w:tc>
        <w:tc>
          <w:tcPr>
            <w:tcW w:type="dxa" w:w="356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Standard posting plus integration safeguards</w:t>
            </w:r>
          </w:p>
        </w:tc>
      </w:tr>
      <w:tr>
        <w:tc>
          <w:tcPr>
            <w:tcW w:type="dxa" w:w="9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API-03 Create DI</w:t>
            </w:r>
          </w:p>
        </w:tc>
        <w:tc>
          <w:tcPr>
            <w:tcW w:type="dxa" w:w="22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S</w:t>
            </w:r>
          </w:p>
        </w:tc>
        <w:tc>
          <w:tcPr>
            <w:tcW w:type="dxa" w:w="11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6</w:t>
            </w:r>
          </w:p>
        </w:tc>
        <w:tc>
          <w:tcPr>
            <w:tcW w:type="dxa" w:w="16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10</w:t>
            </w:r>
          </w:p>
        </w:tc>
        <w:tc>
          <w:tcPr>
            <w:tcW w:type="dxa" w:w="356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Standard creation plus approved logistics fields</w:t>
            </w:r>
          </w:p>
        </w:tc>
      </w:tr>
      <w:tr>
        <w:tc>
          <w:tcPr>
            <w:tcW w:type="dxa" w:w="9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API-04 Stock Availability</w:t>
            </w:r>
          </w:p>
        </w:tc>
        <w:tc>
          <w:tcPr>
            <w:tcW w:type="dxa" w:w="22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C</w:t>
            </w:r>
          </w:p>
        </w:tc>
        <w:tc>
          <w:tcPr>
            <w:tcW w:type="dxa" w:w="11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8</w:t>
            </w:r>
          </w:p>
        </w:tc>
        <w:tc>
          <w:tcPr>
            <w:tcW w:type="dxa" w:w="16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12</w:t>
            </w:r>
          </w:p>
        </w:tc>
        <w:tc>
          <w:tcPr>
            <w:tcW w:type="dxa" w:w="356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Composite real-time read</w:t>
            </w:r>
          </w:p>
        </w:tc>
      </w:tr>
      <w:tr>
        <w:tc>
          <w:tcPr>
            <w:tcW w:type="dxa" w:w="9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API-05 Shipment Cost</w:t>
            </w:r>
          </w:p>
        </w:tc>
        <w:tc>
          <w:tcPr>
            <w:tcW w:type="dxa" w:w="22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X/S</w:t>
            </w:r>
          </w:p>
        </w:tc>
        <w:tc>
          <w:tcPr>
            <w:tcW w:type="dxa" w:w="11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12</w:t>
            </w:r>
          </w:p>
        </w:tc>
        <w:tc>
          <w:tcPr>
            <w:tcW w:type="dxa" w:w="16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18</w:t>
            </w:r>
          </w:p>
        </w:tc>
        <w:tc>
          <w:tcPr>
            <w:tcW w:type="dxa" w:w="356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Estimate is new construction</w:t>
            </w:r>
          </w:p>
        </w:tc>
      </w:tr>
      <w:tr>
        <w:tc>
          <w:tcPr>
            <w:tcW w:type="dxa" w:w="9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API-06 Invoice Creation</w:t>
            </w:r>
          </w:p>
        </w:tc>
        <w:tc>
          <w:tcPr>
            <w:tcW w:type="dxa" w:w="22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X</w:t>
            </w:r>
          </w:p>
        </w:tc>
        <w:tc>
          <w:tcPr>
            <w:tcW w:type="dxa" w:w="11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25</w:t>
            </w:r>
          </w:p>
        </w:tc>
        <w:tc>
          <w:tcPr>
            <w:tcW w:type="dxa" w:w="16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35</w:t>
            </w:r>
          </w:p>
        </w:tc>
        <w:tc>
          <w:tcPr>
            <w:tcW w:type="dxa" w:w="356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Highest-risk orchestration</w:t>
            </w:r>
          </w:p>
        </w:tc>
      </w:tr>
      <w:tr>
        <w:tc>
          <w:tcPr>
            <w:tcW w:type="dxa" w:w="9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API-07 Invoice Correction</w:t>
            </w:r>
          </w:p>
        </w:tc>
        <w:tc>
          <w:tcPr>
            <w:tcW w:type="dxa" w:w="22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S</w:t>
            </w:r>
          </w:p>
        </w:tc>
        <w:tc>
          <w:tcPr>
            <w:tcW w:type="dxa" w:w="11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5</w:t>
            </w:r>
          </w:p>
        </w:tc>
        <w:tc>
          <w:tcPr>
            <w:tcW w:type="dxa" w:w="16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8</w:t>
            </w:r>
          </w:p>
        </w:tc>
        <w:tc>
          <w:tcPr>
            <w:tcW w:type="dxa" w:w="356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Standard document path plus statutory guards</w:t>
            </w:r>
          </w:p>
        </w:tc>
      </w:tr>
      <w:tr>
        <w:tc>
          <w:tcPr>
            <w:tcW w:type="dxa" w:w="9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API-08 E-Invoice Correction</w:t>
            </w:r>
          </w:p>
        </w:tc>
        <w:tc>
          <w:tcPr>
            <w:tcW w:type="dxa" w:w="22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S</w:t>
            </w:r>
          </w:p>
        </w:tc>
        <w:tc>
          <w:tcPr>
            <w:tcW w:type="dxa" w:w="11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6</w:t>
            </w:r>
          </w:p>
        </w:tc>
        <w:tc>
          <w:tcPr>
            <w:tcW w:type="dxa" w:w="16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10</w:t>
            </w:r>
          </w:p>
        </w:tc>
        <w:tc>
          <w:tcPr>
            <w:tcW w:type="dxa" w:w="356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Assumes Document Compliance</w:t>
            </w:r>
          </w:p>
        </w:tc>
      </w:tr>
      <w:tr>
        <w:tc>
          <w:tcPr>
            <w:tcW w:type="dxa" w:w="9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API-09 E-Way Bill Extension</w:t>
            </w:r>
          </w:p>
        </w:tc>
        <w:tc>
          <w:tcPr>
            <w:tcW w:type="dxa" w:w="22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S</w:t>
            </w:r>
          </w:p>
        </w:tc>
        <w:tc>
          <w:tcPr>
            <w:tcW w:type="dxa" w:w="11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3</w:t>
            </w:r>
          </w:p>
        </w:tc>
        <w:tc>
          <w:tcPr>
            <w:tcW w:type="dxa" w:w="16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5</w:t>
            </w:r>
          </w:p>
        </w:tc>
        <w:tc>
          <w:tcPr>
            <w:tcW w:type="dxa" w:w="356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Assumes Document Compliance</w:t>
            </w:r>
          </w:p>
        </w:tc>
      </w:tr>
      <w:tr>
        <w:tc>
          <w:tcPr>
            <w:tcW w:type="dxa" w:w="9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API-10 Modify DI</w:t>
            </w:r>
          </w:p>
        </w:tc>
        <w:tc>
          <w:tcPr>
            <w:tcW w:type="dxa" w:w="22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S</w:t>
            </w:r>
          </w:p>
        </w:tc>
        <w:tc>
          <w:tcPr>
            <w:tcW w:type="dxa" w:w="11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4</w:t>
            </w:r>
          </w:p>
        </w:tc>
        <w:tc>
          <w:tcPr>
            <w:tcW w:type="dxa" w:w="1600"/>
            <w:tcMar>
              <w:top w:w="80" w:type="dxa"/>
              <w:start w:w="120" w:type="dxa"/>
              <w:bottom w:w="80" w:type="dxa"/>
              <w:end w:w="120" w:type="dxa"/>
            </w:tcMar>
            <w:vAlign w:val="center"/>
          </w:tcPr>
          <w:p>
            <w:pPr>
              <w:spacing w:before="0" w:after="0" w:line="240" w:lineRule="auto"/>
              <w:jc w:val="center"/>
            </w:pPr>
            <w:r/>
            <w:r>
              <w:rPr>
                <w:rFonts w:ascii="Calibri" w:hAnsi="Calibri"/>
                <w:color w:val="1F2937"/>
                <w:sz w:val="17"/>
              </w:rPr>
              <w:t>6</w:t>
            </w:r>
          </w:p>
        </w:tc>
        <w:tc>
          <w:tcPr>
            <w:tcW w:type="dxa" w:w="356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Proposed addition</w:t>
            </w:r>
          </w:p>
        </w:tc>
      </w:tr>
      <w:tr>
        <w:tc>
          <w:tcPr>
            <w:tcW w:type="dxa" w:w="900"/>
            <w:tcMar>
              <w:top w:w="80" w:type="dxa"/>
              <w:start w:w="120" w:type="dxa"/>
              <w:bottom w:w="80" w:type="dxa"/>
              <w:end w:w="120" w:type="dxa"/>
            </w:tcMar>
            <w:vAlign w:val="center"/>
          </w:tcPr>
          <w:p>
            <w:pPr>
              <w:spacing w:before="0" w:after="0" w:line="240" w:lineRule="auto"/>
              <w:jc w:val="center"/>
            </w:pPr>
            <w:r/>
            <w:r>
              <w:rPr>
                <w:rFonts w:ascii="Calibri" w:hAnsi="Calibri"/>
                <w:b/>
                <w:color w:val="1F2937"/>
                <w:sz w:val="17"/>
              </w:rPr>
              <w:t>Total with Document Compliance</w:t>
            </w:r>
          </w:p>
        </w:tc>
        <w:tc>
          <w:tcPr>
            <w:tcW w:type="dxa" w:w="2200"/>
            <w:tcMar>
              <w:top w:w="80" w:type="dxa"/>
              <w:start w:w="120" w:type="dxa"/>
              <w:bottom w:w="80" w:type="dxa"/>
              <w:end w:w="120" w:type="dxa"/>
            </w:tcMar>
            <w:vAlign w:val="center"/>
          </w:tcPr>
          <w:p>
            <w:pPr>
              <w:spacing w:before="0" w:after="0" w:line="240" w:lineRule="auto"/>
              <w:jc w:val="left"/>
            </w:pPr>
            <w:r/>
          </w:p>
        </w:tc>
        <w:tc>
          <w:tcPr>
            <w:tcW w:type="dxa" w:w="1100"/>
            <w:tcMar>
              <w:top w:w="80" w:type="dxa"/>
              <w:start w:w="120" w:type="dxa"/>
              <w:bottom w:w="80" w:type="dxa"/>
              <w:end w:w="120" w:type="dxa"/>
            </w:tcMar>
            <w:vAlign w:val="center"/>
          </w:tcPr>
          <w:p>
            <w:pPr>
              <w:spacing w:before="0" w:after="0" w:line="240" w:lineRule="auto"/>
              <w:jc w:val="left"/>
            </w:pPr>
            <w:r/>
            <w:r>
              <w:rPr>
                <w:rFonts w:ascii="Calibri" w:hAnsi="Calibri"/>
                <w:b/>
                <w:color w:val="1F2937"/>
                <w:sz w:val="17"/>
              </w:rPr>
              <w:t>97</w:t>
            </w:r>
          </w:p>
        </w:tc>
        <w:tc>
          <w:tcPr>
            <w:tcW w:type="dxa" w:w="1600"/>
            <w:tcMar>
              <w:top w:w="80" w:type="dxa"/>
              <w:start w:w="120" w:type="dxa"/>
              <w:bottom w:w="80" w:type="dxa"/>
              <w:end w:w="120" w:type="dxa"/>
            </w:tcMar>
            <w:vAlign w:val="center"/>
          </w:tcPr>
          <w:p>
            <w:pPr>
              <w:spacing w:before="0" w:after="0" w:line="240" w:lineRule="auto"/>
              <w:jc w:val="left"/>
            </w:pPr>
            <w:r/>
            <w:r>
              <w:rPr>
                <w:rFonts w:ascii="Calibri" w:hAnsi="Calibri"/>
                <w:b/>
                <w:color w:val="1F2937"/>
                <w:sz w:val="17"/>
              </w:rPr>
              <w:t>144</w:t>
            </w:r>
          </w:p>
        </w:tc>
        <w:tc>
          <w:tcPr>
            <w:tcW w:type="dxa" w:w="356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Excludes functional, CPI and testing cycles</w:t>
            </w:r>
          </w:p>
        </w:tc>
      </w:tr>
      <w:tr>
        <w:tc>
          <w:tcPr>
            <w:tcW w:type="dxa" w:w="900"/>
            <w:tcMar>
              <w:top w:w="80" w:type="dxa"/>
              <w:start w:w="120" w:type="dxa"/>
              <w:bottom w:w="80" w:type="dxa"/>
              <w:end w:w="120" w:type="dxa"/>
            </w:tcMar>
            <w:vAlign w:val="center"/>
          </w:tcPr>
          <w:p>
            <w:pPr>
              <w:spacing w:before="0" w:after="0" w:line="240" w:lineRule="auto"/>
              <w:jc w:val="center"/>
            </w:pPr>
            <w:r/>
            <w:r>
              <w:rPr>
                <w:rFonts w:ascii="Calibri" w:hAnsi="Calibri"/>
                <w:b/>
                <w:color w:val="1F2937"/>
                <w:sz w:val="17"/>
              </w:rPr>
              <w:t>Contingency without Document Compliance</w:t>
            </w:r>
          </w:p>
        </w:tc>
        <w:tc>
          <w:tcPr>
            <w:tcW w:type="dxa" w:w="220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X</w:t>
            </w:r>
          </w:p>
        </w:tc>
        <w:tc>
          <w:tcPr>
            <w:tcW w:type="dxa" w:w="1100"/>
            <w:tcMar>
              <w:top w:w="80" w:type="dxa"/>
              <w:start w:w="120" w:type="dxa"/>
              <w:bottom w:w="80" w:type="dxa"/>
              <w:end w:w="120" w:type="dxa"/>
            </w:tcMar>
            <w:vAlign w:val="center"/>
          </w:tcPr>
          <w:p>
            <w:pPr>
              <w:spacing w:before="0" w:after="0" w:line="240" w:lineRule="auto"/>
              <w:jc w:val="left"/>
            </w:pPr>
            <w:r/>
            <w:r>
              <w:rPr>
                <w:rFonts w:ascii="Calibri" w:hAnsi="Calibri"/>
                <w:b/>
                <w:color w:val="1F2937"/>
                <w:sz w:val="17"/>
              </w:rPr>
              <w:t>+20</w:t>
            </w:r>
          </w:p>
        </w:tc>
        <w:tc>
          <w:tcPr>
            <w:tcW w:type="dxa" w:w="1600"/>
            <w:tcMar>
              <w:top w:w="80" w:type="dxa"/>
              <w:start w:w="120" w:type="dxa"/>
              <w:bottom w:w="80" w:type="dxa"/>
              <w:end w:w="120" w:type="dxa"/>
            </w:tcMar>
            <w:vAlign w:val="center"/>
          </w:tcPr>
          <w:p>
            <w:pPr>
              <w:spacing w:before="0" w:after="0" w:line="240" w:lineRule="auto"/>
              <w:jc w:val="left"/>
            </w:pPr>
            <w:r/>
            <w:r>
              <w:rPr>
                <w:rFonts w:ascii="Calibri" w:hAnsi="Calibri"/>
                <w:b/>
                <w:color w:val="1F2937"/>
                <w:sz w:val="17"/>
              </w:rPr>
              <w:t>+25</w:t>
            </w:r>
          </w:p>
        </w:tc>
        <w:tc>
          <w:tcPr>
            <w:tcW w:type="dxa" w:w="3560"/>
            <w:tcMar>
              <w:top w:w="80" w:type="dxa"/>
              <w:start w:w="120" w:type="dxa"/>
              <w:bottom w:w="80" w:type="dxa"/>
              <w:end w:w="120" w:type="dxa"/>
            </w:tcMar>
            <w:vAlign w:val="center"/>
          </w:tcPr>
          <w:p>
            <w:pPr>
              <w:spacing w:before="0" w:after="0" w:line="240" w:lineRule="auto"/>
              <w:jc w:val="left"/>
            </w:pPr>
            <w:r/>
            <w:r>
              <w:rPr>
                <w:rFonts w:ascii="Calibri" w:hAnsi="Calibri"/>
                <w:color w:val="1F2937"/>
                <w:sz w:val="17"/>
              </w:rPr>
              <w:t>Bespoke API-08/API-09 statutory route</w:t>
            </w:r>
          </w:p>
        </w:tc>
      </w:tr>
    </w:tbl>
    <w:p>
      <w:pPr>
        <w:spacing w:after="20"/>
      </w:pPr>
    </w:p>
    <w:p>
      <w:pPr>
        <w:widowControl/>
      </w:pPr>
      <w:r>
        <w:rPr>
          <w:rFonts w:ascii="Calibri" w:hAnsi="Calibri"/>
          <w:color w:val="1F2937"/>
          <w:sz w:val="22"/>
        </w:rPr>
        <w:t>Recommended sequence after access:</w:t>
      </w:r>
    </w:p>
    <w:p>
      <w:pPr>
        <w:pStyle w:val="ListNumber"/>
      </w:pPr>
      <w:r>
        <w:rPr>
          <w:rFonts w:ascii="Calibri" w:hAnsi="Calibri"/>
          <w:color w:val="1F2937"/>
          <w:sz w:val="22"/>
        </w:rPr>
        <w:t>Verify release, components, topology, standards and Document Compliance.</w:t>
      </w:r>
    </w:p>
    <w:p>
      <w:pPr>
        <w:pStyle w:val="ListNumber"/>
      </w:pPr>
      <w:r>
        <w:rPr>
          <w:rFonts w:ascii="Calibri" w:hAnsi="Calibri"/>
          <w:color w:val="1F2937"/>
          <w:sz w:val="22"/>
        </w:rPr>
        <w:t>Confirm source-of-record and mapping ownership.</w:t>
      </w:r>
    </w:p>
    <w:p>
      <w:pPr>
        <w:pStyle w:val="ListNumber"/>
      </w:pPr>
      <w:r>
        <w:rPr>
          <w:rFonts w:ascii="Calibri" w:hAnsi="Calibri"/>
          <w:color w:val="1F2937"/>
          <w:sz w:val="22"/>
        </w:rPr>
        <w:t>Build shared contract, error, logging, security and idempotency foundations.</w:t>
      </w:r>
    </w:p>
    <w:p>
      <w:pPr>
        <w:pStyle w:val="ListNumber"/>
      </w:pPr>
      <w:r>
        <w:rPr>
          <w:rFonts w:ascii="Calibri" w:hAnsi="Calibri"/>
          <w:color w:val="1F2937"/>
          <w:sz w:val="22"/>
        </w:rPr>
        <w:t>Start low-risk reads: API-04 and the narrowed API-01.</w:t>
      </w:r>
    </w:p>
    <w:p>
      <w:pPr>
        <w:pStyle w:val="ListNumber"/>
      </w:pPr>
      <w:r>
        <w:rPr>
          <w:rFonts w:ascii="Calibri" w:hAnsi="Calibri"/>
          <w:color w:val="1F2937"/>
          <w:sz w:val="22"/>
        </w:rPr>
        <w:t>Build isolated document commands: API-02, API-03 and approved API-10.</w:t>
      </w:r>
    </w:p>
    <w:p>
      <w:pPr>
        <w:pStyle w:val="ListNumber"/>
      </w:pPr>
      <w:r>
        <w:rPr>
          <w:rFonts w:ascii="Calibri" w:hAnsi="Calibri"/>
          <w:color w:val="1F2937"/>
          <w:sz w:val="22"/>
        </w:rPr>
        <w:t>Validate and implement API-05 simulation/actual modes.</w:t>
      </w:r>
    </w:p>
    <w:p>
      <w:pPr>
        <w:pStyle w:val="ListNumber"/>
      </w:pPr>
      <w:r>
        <w:rPr>
          <w:rFonts w:ascii="Calibri" w:hAnsi="Calibri"/>
          <w:color w:val="1F2937"/>
          <w:sz w:val="22"/>
        </w:rPr>
        <w:t>Implement billing correction and statutory routes.</w:t>
      </w:r>
    </w:p>
    <w:p>
      <w:pPr>
        <w:pStyle w:val="ListNumber"/>
      </w:pPr>
      <w:r>
        <w:rPr>
          <w:rFonts w:ascii="Calibri" w:hAnsi="Calibri"/>
          <w:color w:val="1F2937"/>
          <w:sz w:val="22"/>
        </w:rPr>
        <w:t>Build API-06 only after its state model and ownership are approved.</w:t>
      </w:r>
    </w:p>
    <w:p>
      <w:r>
        <w:br w:type="page"/>
      </w:r>
    </w:p>
    <w:p>
      <w:pPr>
        <w:pStyle w:val="Heading1"/>
      </w:pPr>
      <w:r>
        <w:rPr>
          <w:rFonts w:ascii="Calibri" w:hAnsi="Calibri"/>
          <w:color w:val="2E74B5"/>
          <w:sz w:val="32"/>
        </w:rPr>
        <w:t>10. Development-access validation register</w:t>
      </w:r>
    </w:p>
    <w:p>
      <w:pPr>
        <w:pStyle w:val="Heading2"/>
      </w:pPr>
      <w:r>
        <w:rPr>
          <w:rFonts w:ascii="Calibri" w:hAnsi="Calibri"/>
          <w:color w:val="2E74B5"/>
          <w:sz w:val="26"/>
        </w:rPr>
        <w:t>10.1 Critical decisions before contract freeze</w:t>
      </w:r>
    </w:p>
    <w:tbl>
      <w:tblPr>
        <w:tblStyle w:val="TableGrid"/>
        <w:tblW w:type="dxa" w:w="9360"/>
        <w:jc w:val="left"/>
        <w:tblLayout w:type="fixed"/>
        <w:tblLook w:firstColumn="1" w:firstRow="1" w:lastColumn="0" w:lastRow="0" w:noHBand="0" w:noVBand="1" w:val="04A0"/>
        <w:tblInd w:w="120" w:type="dxa"/>
        <w:tblBorders>
          <w:top w:val="single" w:sz="4" w:color="C9D2DC"/>
          <w:left w:val="single" w:sz="4" w:color="C9D2DC"/>
          <w:bottom w:val="single" w:sz="4" w:color="C9D2DC"/>
          <w:right w:val="single" w:sz="4" w:color="C9D2DC"/>
          <w:insideH w:val="single" w:sz="4" w:color="C9D2DC"/>
          <w:insideV w:val="single" w:sz="4" w:color="C9D2DC"/>
        </w:tblBorders>
      </w:tblPr>
      <w:tblGrid>
        <w:gridCol w:w="1200"/>
        <w:gridCol w:w="3100"/>
        <w:gridCol w:w="1800"/>
        <w:gridCol w:w="3260"/>
      </w:tblGrid>
      <w:tr>
        <w:trPr>
          <w:tblHeader w:val="true"/>
        </w:trPr>
        <w:tc>
          <w:tcPr>
            <w:tcW w:type="dxa" w:w="1200"/>
            <w:tcMar>
              <w:top w:w="80" w:type="dxa"/>
              <w:start w:w="120" w:type="dxa"/>
              <w:bottom w:w="80" w:type="dxa"/>
              <w:end w:w="120" w:type="dxa"/>
            </w:tcMar>
            <w:vAlign w:val="center"/>
            <w:shd w:fill="E8EEF5"/>
          </w:tcPr>
          <w:p>
            <w:pPr>
              <w:spacing w:before="0" w:after="0" w:line="240" w:lineRule="auto"/>
              <w:jc w:val="center"/>
            </w:pPr>
            <w:r>
              <w:rPr>
                <w:b/>
                <w:color w:val="1F4D78"/>
              </w:rPr>
            </w:r>
            <w:r>
              <w:rPr>
                <w:rFonts w:ascii="Calibri" w:hAnsi="Calibri"/>
                <w:b/>
                <w:color w:val="1F4D78"/>
                <w:sz w:val="18"/>
              </w:rPr>
              <w:t>Ref</w:t>
            </w:r>
          </w:p>
        </w:tc>
        <w:tc>
          <w:tcPr>
            <w:tcW w:type="dxa" w:w="3100"/>
            <w:tcMar>
              <w:top w:w="80" w:type="dxa"/>
              <w:start w:w="120" w:type="dxa"/>
              <w:bottom w:w="80" w:type="dxa"/>
              <w:end w:w="120" w:type="dxa"/>
            </w:tcMar>
            <w:vAlign w:val="center"/>
            <w:shd w:fill="E8EEF5"/>
          </w:tcPr>
          <w:p>
            <w:pPr>
              <w:spacing w:before="0" w:after="0" w:line="240" w:lineRule="auto"/>
              <w:jc w:val="left"/>
            </w:pPr>
            <w:r>
              <w:rPr>
                <w:b/>
                <w:color w:val="1F4D78"/>
              </w:rPr>
            </w:r>
            <w:r>
              <w:rPr>
                <w:rFonts w:ascii="Calibri" w:hAnsi="Calibri"/>
                <w:b/>
                <w:color w:val="1F4D78"/>
                <w:sz w:val="18"/>
              </w:rPr>
              <w:t>Decision or inspection</w:t>
            </w:r>
          </w:p>
        </w:tc>
        <w:tc>
          <w:tcPr>
            <w:tcW w:type="dxa" w:w="1800"/>
            <w:tcMar>
              <w:top w:w="80" w:type="dxa"/>
              <w:start w:w="120" w:type="dxa"/>
              <w:bottom w:w="80" w:type="dxa"/>
              <w:end w:w="120" w:type="dxa"/>
            </w:tcMar>
            <w:vAlign w:val="center"/>
            <w:shd w:fill="E8EEF5"/>
          </w:tcPr>
          <w:p>
            <w:pPr>
              <w:spacing w:before="0" w:after="0" w:line="240" w:lineRule="auto"/>
              <w:jc w:val="left"/>
            </w:pPr>
            <w:r>
              <w:rPr>
                <w:b/>
                <w:color w:val="1F4D78"/>
              </w:rPr>
            </w:r>
            <w:r>
              <w:rPr>
                <w:rFonts w:ascii="Calibri" w:hAnsi="Calibri"/>
                <w:b/>
                <w:color w:val="1F4D78"/>
                <w:sz w:val="18"/>
              </w:rPr>
              <w:t>Owner</w:t>
            </w:r>
          </w:p>
        </w:tc>
        <w:tc>
          <w:tcPr>
            <w:tcW w:type="dxa" w:w="3260"/>
            <w:tcMar>
              <w:top w:w="80" w:type="dxa"/>
              <w:start w:w="120" w:type="dxa"/>
              <w:bottom w:w="80" w:type="dxa"/>
              <w:end w:w="120" w:type="dxa"/>
            </w:tcMar>
            <w:vAlign w:val="center"/>
            <w:shd w:fill="E8EEF5"/>
          </w:tcPr>
          <w:p>
            <w:pPr>
              <w:spacing w:before="0" w:after="0" w:line="240" w:lineRule="auto"/>
              <w:jc w:val="left"/>
            </w:pPr>
            <w:r>
              <w:rPr>
                <w:b/>
                <w:color w:val="1F4D78"/>
              </w:rPr>
            </w:r>
            <w:r>
              <w:rPr>
                <w:rFonts w:ascii="Calibri" w:hAnsi="Calibri"/>
                <w:b/>
                <w:color w:val="1F4D78"/>
                <w:sz w:val="18"/>
              </w:rPr>
              <w:t>Main impact</w:t>
            </w:r>
          </w:p>
        </w:tc>
      </w:tr>
      <w:tr>
        <w:tc>
          <w:tcPr>
            <w:tcW w:type="dxa" w:w="1200"/>
            <w:tcMar>
              <w:top w:w="80" w:type="dxa"/>
              <w:start w:w="120" w:type="dxa"/>
              <w:bottom w:w="80" w:type="dxa"/>
              <w:end w:w="120" w:type="dxa"/>
            </w:tcMar>
            <w:vAlign w:val="center"/>
          </w:tcPr>
          <w:p>
            <w:pPr>
              <w:spacing w:before="0" w:after="0" w:line="240" w:lineRule="auto"/>
              <w:jc w:val="center"/>
            </w:pPr>
            <w:r/>
            <w:r>
              <w:rPr>
                <w:rFonts w:ascii="Calibri" w:hAnsi="Calibri"/>
                <w:color w:val="1F2937"/>
                <w:sz w:val="18"/>
              </w:rPr>
              <w:t>V-01</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Exact backend release, components, released APIs and CDS views</w:t>
            </w:r>
          </w:p>
        </w:tc>
        <w:tc>
          <w:tcPr>
            <w:tcW w:type="dxa" w:w="18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Basis / ABAP</w:t>
            </w:r>
          </w:p>
        </w:tc>
        <w:tc>
          <w:tcPr>
            <w:tcW w:type="dxa" w:w="326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All ten APIs</w:t>
            </w:r>
          </w:p>
        </w:tc>
      </w:tr>
      <w:tr>
        <w:tc>
          <w:tcPr>
            <w:tcW w:type="dxa" w:w="1200"/>
            <w:tcMar>
              <w:top w:w="80" w:type="dxa"/>
              <w:start w:w="120" w:type="dxa"/>
              <w:bottom w:w="80" w:type="dxa"/>
              <w:end w:w="120" w:type="dxa"/>
            </w:tcMar>
            <w:vAlign w:val="center"/>
          </w:tcPr>
          <w:p>
            <w:pPr>
              <w:spacing w:before="0" w:after="0" w:line="240" w:lineRule="auto"/>
              <w:jc w:val="center"/>
            </w:pPr>
            <w:r/>
            <w:r>
              <w:rPr>
                <w:rFonts w:ascii="Calibri" w:hAnsi="Calibri"/>
                <w:color w:val="1F2937"/>
                <w:sz w:val="18"/>
              </w:rPr>
              <w:t>V-02</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Document Compliance India licence, installation and configured actions</w:t>
            </w:r>
          </w:p>
        </w:tc>
        <w:tc>
          <w:tcPr>
            <w:tcW w:type="dxa" w:w="18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Basis / Tax</w:t>
            </w:r>
          </w:p>
        </w:tc>
        <w:tc>
          <w:tcPr>
            <w:tcW w:type="dxa" w:w="326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API-06, API-08, API-09 and largest effort swing</w:t>
            </w:r>
          </w:p>
        </w:tc>
      </w:tr>
      <w:tr>
        <w:tc>
          <w:tcPr>
            <w:tcW w:type="dxa" w:w="1200"/>
            <w:tcMar>
              <w:top w:w="80" w:type="dxa"/>
              <w:start w:w="120" w:type="dxa"/>
              <w:bottom w:w="80" w:type="dxa"/>
              <w:end w:w="120" w:type="dxa"/>
            </w:tcMar>
            <w:vAlign w:val="center"/>
          </w:tcPr>
          <w:p>
            <w:pPr>
              <w:spacing w:before="0" w:after="0" w:line="240" w:lineRule="auto"/>
              <w:jc w:val="center"/>
            </w:pPr>
            <w:r/>
            <w:r>
              <w:rPr>
                <w:rFonts w:ascii="Calibri" w:hAnsi="Calibri"/>
                <w:color w:val="1F2937"/>
                <w:sz w:val="18"/>
              </w:rPr>
              <w:t>V-03</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CPI versus ABAP ownership of statutory calls and credentials</w:t>
            </w:r>
          </w:p>
        </w:tc>
        <w:tc>
          <w:tcPr>
            <w:tcW w:type="dxa" w:w="18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Architect</w:t>
            </w:r>
          </w:p>
        </w:tc>
        <w:tc>
          <w:tcPr>
            <w:tcW w:type="dxa" w:w="326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Statutory services and security</w:t>
            </w:r>
          </w:p>
        </w:tc>
      </w:tr>
      <w:tr>
        <w:tc>
          <w:tcPr>
            <w:tcW w:type="dxa" w:w="1200"/>
            <w:tcMar>
              <w:top w:w="80" w:type="dxa"/>
              <w:start w:w="120" w:type="dxa"/>
              <w:bottom w:w="80" w:type="dxa"/>
              <w:end w:w="120" w:type="dxa"/>
            </w:tcMar>
            <w:vAlign w:val="center"/>
          </w:tcPr>
          <w:p>
            <w:pPr>
              <w:spacing w:before="0" w:after="0" w:line="240" w:lineRule="auto"/>
              <w:jc w:val="center"/>
            </w:pPr>
            <w:r/>
            <w:r>
              <w:rPr>
                <w:rFonts w:ascii="Calibri" w:hAnsi="Calibri"/>
                <w:color w:val="1F2937"/>
                <w:sz w:val="18"/>
              </w:rPr>
              <w:t>V-04</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Synchronous command versus staged invoice process</w:t>
            </w:r>
          </w:p>
        </w:tc>
        <w:tc>
          <w:tcPr>
            <w:tcW w:type="dxa" w:w="18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SD / Architect</w:t>
            </w:r>
          </w:p>
        </w:tc>
        <w:tc>
          <w:tcPr>
            <w:tcW w:type="dxa" w:w="326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API-06 and API-05</w:t>
            </w:r>
          </w:p>
        </w:tc>
      </w:tr>
      <w:tr>
        <w:tc>
          <w:tcPr>
            <w:tcW w:type="dxa" w:w="1200"/>
            <w:tcMar>
              <w:top w:w="80" w:type="dxa"/>
              <w:start w:w="120" w:type="dxa"/>
              <w:bottom w:w="80" w:type="dxa"/>
              <w:end w:w="120" w:type="dxa"/>
            </w:tcMar>
            <w:vAlign w:val="center"/>
          </w:tcPr>
          <w:p>
            <w:pPr>
              <w:spacing w:before="0" w:after="0" w:line="240" w:lineRule="auto"/>
              <w:jc w:val="center"/>
            </w:pPr>
            <w:r/>
            <w:r>
              <w:rPr>
                <w:rFonts w:ascii="Calibri" w:hAnsi="Calibri"/>
                <w:color w:val="1F2937"/>
                <w:sz w:val="18"/>
              </w:rPr>
              <w:t>V-05</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Sales order versus STO predecessor by scenario</w:t>
            </w:r>
          </w:p>
        </w:tc>
        <w:tc>
          <w:tcPr>
            <w:tcW w:type="dxa" w:w="18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SD</w:t>
            </w:r>
          </w:p>
        </w:tc>
        <w:tc>
          <w:tcPr>
            <w:tcW w:type="dxa" w:w="326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API-01, API-03 and API-10</w:t>
            </w:r>
          </w:p>
        </w:tc>
      </w:tr>
      <w:tr>
        <w:tc>
          <w:tcPr>
            <w:tcW w:type="dxa" w:w="1200"/>
            <w:tcMar>
              <w:top w:w="80" w:type="dxa"/>
              <w:start w:w="120" w:type="dxa"/>
              <w:bottom w:w="80" w:type="dxa"/>
              <w:end w:w="120" w:type="dxa"/>
            </w:tcMar>
            <w:vAlign w:val="center"/>
          </w:tcPr>
          <w:p>
            <w:pPr>
              <w:spacing w:before="0" w:after="0" w:line="240" w:lineRule="auto"/>
              <w:jc w:val="center"/>
            </w:pPr>
            <w:r/>
            <w:r>
              <w:rPr>
                <w:rFonts w:ascii="Calibri" w:hAnsi="Calibri"/>
                <w:color w:val="1F2937"/>
                <w:sz w:val="18"/>
              </w:rPr>
              <w:t>V-12</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Master/reference dictionary and derivation rules</w:t>
            </w:r>
          </w:p>
        </w:tc>
        <w:tc>
          <w:tcPr>
            <w:tcW w:type="dxa" w:w="18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SD / Business master data</w:t>
            </w:r>
          </w:p>
        </w:tc>
        <w:tc>
          <w:tcPr>
            <w:tcW w:type="dxa" w:w="326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Every payload</w:t>
            </w:r>
          </w:p>
        </w:tc>
      </w:tr>
      <w:tr>
        <w:tc>
          <w:tcPr>
            <w:tcW w:type="dxa" w:w="1200"/>
            <w:tcMar>
              <w:top w:w="80" w:type="dxa"/>
              <w:start w:w="120" w:type="dxa"/>
              <w:bottom w:w="80" w:type="dxa"/>
              <w:end w:w="120" w:type="dxa"/>
            </w:tcMar>
            <w:vAlign w:val="center"/>
          </w:tcPr>
          <w:p>
            <w:pPr>
              <w:spacing w:before="0" w:after="0" w:line="240" w:lineRule="auto"/>
              <w:jc w:val="center"/>
            </w:pPr>
            <w:r/>
            <w:r>
              <w:rPr>
                <w:rFonts w:ascii="Calibri" w:hAnsi="Calibri"/>
                <w:color w:val="1F2937"/>
                <w:sz w:val="18"/>
              </w:rPr>
              <w:t>V-15</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DEV/QAS/PRD clients and transport route</w:t>
            </w:r>
          </w:p>
        </w:tc>
        <w:tc>
          <w:tcPr>
            <w:tcW w:type="dxa" w:w="18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Basis</w:t>
            </w:r>
          </w:p>
        </w:tc>
        <w:tc>
          <w:tcPr>
            <w:tcW w:type="dxa" w:w="326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Delivery governance</w:t>
            </w:r>
          </w:p>
        </w:tc>
      </w:tr>
      <w:tr>
        <w:tc>
          <w:tcPr>
            <w:tcW w:type="dxa" w:w="1200"/>
            <w:tcMar>
              <w:top w:w="80" w:type="dxa"/>
              <w:start w:w="120" w:type="dxa"/>
              <w:bottom w:w="80" w:type="dxa"/>
              <w:end w:w="120" w:type="dxa"/>
            </w:tcMar>
            <w:vAlign w:val="center"/>
          </w:tcPr>
          <w:p>
            <w:pPr>
              <w:spacing w:before="0" w:after="0" w:line="240" w:lineRule="auto"/>
              <w:jc w:val="center"/>
            </w:pPr>
            <w:r/>
            <w:r>
              <w:rPr>
                <w:rFonts w:ascii="Calibri" w:hAnsi="Calibri"/>
                <w:color w:val="1F2937"/>
                <w:sz w:val="18"/>
              </w:rPr>
              <w:t>V-16</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Embedded versus hub Gateway topology</w:t>
            </w:r>
          </w:p>
        </w:tc>
        <w:tc>
          <w:tcPr>
            <w:tcW w:type="dxa" w:w="18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Basis</w:t>
            </w:r>
          </w:p>
        </w:tc>
        <w:tc>
          <w:tcPr>
            <w:tcW w:type="dxa" w:w="326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All services</w:t>
            </w:r>
          </w:p>
        </w:tc>
      </w:tr>
      <w:tr>
        <w:tc>
          <w:tcPr>
            <w:tcW w:type="dxa" w:w="1200"/>
            <w:tcMar>
              <w:top w:w="80" w:type="dxa"/>
              <w:start w:w="120" w:type="dxa"/>
              <w:bottom w:w="80" w:type="dxa"/>
              <w:end w:w="120" w:type="dxa"/>
            </w:tcMar>
            <w:vAlign w:val="center"/>
          </w:tcPr>
          <w:p>
            <w:pPr>
              <w:spacing w:before="0" w:after="0" w:line="240" w:lineRule="auto"/>
              <w:jc w:val="center"/>
            </w:pPr>
            <w:r/>
            <w:r>
              <w:rPr>
                <w:rFonts w:ascii="Calibri" w:hAnsi="Calibri"/>
                <w:color w:val="1F2937"/>
                <w:sz w:val="18"/>
              </w:rPr>
              <w:t>V-27</w:t>
            </w:r>
          </w:p>
        </w:tc>
        <w:tc>
          <w:tcPr>
            <w:tcW w:type="dxa" w:w="31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Commerce-to-SAP code mapping and execution owner</w:t>
            </w:r>
          </w:p>
        </w:tc>
        <w:tc>
          <w:tcPr>
            <w:tcW w:type="dxa" w:w="18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Architect / SD / Commerce</w:t>
            </w:r>
          </w:p>
        </w:tc>
        <w:tc>
          <w:tcPr>
            <w:tcW w:type="dxa" w:w="326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API-01..06 and API-10</w:t>
            </w:r>
          </w:p>
        </w:tc>
      </w:tr>
    </w:tbl>
    <w:p>
      <w:pPr>
        <w:spacing w:after="20"/>
      </w:pPr>
    </w:p>
    <w:p>
      <w:pPr>
        <w:pStyle w:val="Heading2"/>
      </w:pPr>
      <w:r>
        <w:rPr>
          <w:rFonts w:ascii="Calibri" w:hAnsi="Calibri"/>
          <w:color w:val="2E74B5"/>
          <w:sz w:val="26"/>
        </w:rPr>
        <w:t>10.2 High-priority functional and architecture validations</w:t>
      </w:r>
    </w:p>
    <w:p>
      <w:pPr>
        <w:pStyle w:val="ListBullet"/>
      </w:pPr>
      <w:r>
        <w:rPr>
          <w:rFonts w:ascii="Calibri" w:hAnsi="Calibri"/>
          <w:color w:val="1F2937"/>
          <w:sz w:val="22"/>
        </w:rPr>
        <w:t>V-06 transport solution in use.</w:t>
      </w:r>
    </w:p>
    <w:p>
      <w:pPr>
        <w:pStyle w:val="ListBullet"/>
      </w:pPr>
      <w:r>
        <w:rPr>
          <w:rFonts w:ascii="Calibri" w:hAnsi="Calibri"/>
          <w:color w:val="1F2937"/>
          <w:sz w:val="22"/>
        </w:rPr>
        <w:t>V-07 operational definition of available stock.</w:t>
      </w:r>
    </w:p>
    <w:p>
      <w:pPr>
        <w:pStyle w:val="ListBullet"/>
      </w:pPr>
      <w:r>
        <w:rPr>
          <w:rFonts w:ascii="Calibri" w:hAnsi="Calibri"/>
          <w:color w:val="1F2937"/>
          <w:sz w:val="22"/>
        </w:rPr>
        <w:t>V-08 batch issue-sequence ownership.</w:t>
      </w:r>
    </w:p>
    <w:p>
      <w:pPr>
        <w:pStyle w:val="ListBullet"/>
      </w:pPr>
      <w:r>
        <w:rPr>
          <w:rFonts w:ascii="Calibri" w:hAnsi="Calibri"/>
          <w:color w:val="1F2937"/>
          <w:sz w:val="22"/>
        </w:rPr>
        <w:t>V-09 material-document-to-MRN linkage.</w:t>
      </w:r>
    </w:p>
    <w:p>
      <w:pPr>
        <w:pStyle w:val="ListBullet"/>
      </w:pPr>
      <w:r>
        <w:rPr>
          <w:rFonts w:ascii="Calibri" w:hAnsi="Calibri"/>
          <w:color w:val="1F2937"/>
          <w:sz w:val="22"/>
        </w:rPr>
        <w:t>V-10 freight simulation feasibility.</w:t>
      </w:r>
    </w:p>
    <w:p>
      <w:pPr>
        <w:pStyle w:val="ListBullet"/>
      </w:pPr>
      <w:r>
        <w:rPr>
          <w:rFonts w:ascii="Calibri" w:hAnsi="Calibri"/>
          <w:color w:val="1F2937"/>
          <w:sz w:val="22"/>
        </w:rPr>
        <w:t>V-11 editable delivery fields and status limits.</w:t>
      </w:r>
    </w:p>
    <w:p>
      <w:pPr>
        <w:pStyle w:val="ListBullet"/>
      </w:pPr>
      <w:r>
        <w:rPr>
          <w:rFonts w:ascii="Calibri" w:hAnsi="Calibri"/>
          <w:color w:val="1F2937"/>
          <w:sz w:val="22"/>
        </w:rPr>
        <w:t>V-14 IRN cancellation window and E-Way linkage.</w:t>
      </w:r>
    </w:p>
    <w:p>
      <w:pPr>
        <w:pStyle w:val="ListBullet"/>
      </w:pPr>
      <w:r>
        <w:rPr>
          <w:rFonts w:ascii="Calibri" w:hAnsi="Calibri"/>
          <w:color w:val="1F2937"/>
          <w:sz w:val="22"/>
        </w:rPr>
        <w:t>V-17 package, namespace, exception and transport conventions.</w:t>
      </w:r>
    </w:p>
    <w:p>
      <w:pPr>
        <w:pStyle w:val="ListBullet"/>
      </w:pPr>
      <w:r>
        <w:rPr>
          <w:rFonts w:ascii="Calibri" w:hAnsi="Calibri"/>
          <w:color w:val="1F2937"/>
          <w:sz w:val="22"/>
        </w:rPr>
        <w:t>V-18 error schema and HTTP mapping.</w:t>
      </w:r>
    </w:p>
    <w:p>
      <w:pPr>
        <w:pStyle w:val="ListBullet"/>
      </w:pPr>
      <w:r>
        <w:rPr>
          <w:rFonts w:ascii="Calibri" w:hAnsi="Calibri"/>
          <w:color w:val="1F2937"/>
          <w:sz w:val="22"/>
        </w:rPr>
        <w:t>V-19 correlation and logging standard.</w:t>
      </w:r>
    </w:p>
    <w:p>
      <w:pPr>
        <w:pStyle w:val="ListBullet"/>
      </w:pPr>
      <w:r>
        <w:rPr>
          <w:rFonts w:ascii="Calibri" w:hAnsi="Calibri"/>
          <w:color w:val="1F2937"/>
          <w:sz w:val="22"/>
        </w:rPr>
        <w:t>V-20 external request-ID persistence by document type.</w:t>
      </w:r>
    </w:p>
    <w:p>
      <w:pPr>
        <w:pStyle w:val="ListBullet"/>
      </w:pPr>
      <w:r>
        <w:rPr>
          <w:rFonts w:ascii="Calibri" w:hAnsi="Calibri"/>
          <w:color w:val="1F2937"/>
          <w:sz w:val="22"/>
        </w:rPr>
        <w:t>V-26 transporter and vehicle authority.</w:t>
      </w:r>
    </w:p>
    <w:p>
      <w:pPr>
        <w:pStyle w:val="ListBullet"/>
      </w:pPr>
      <w:r>
        <w:rPr>
          <w:rFonts w:ascii="Calibri" w:hAnsi="Calibri"/>
          <w:color w:val="1F2937"/>
          <w:sz w:val="22"/>
        </w:rPr>
        <w:t>V-29 SAP-to-Commerce T1 triggers and latency.</w:t>
      </w:r>
    </w:p>
    <w:p>
      <w:pPr>
        <w:pStyle w:val="Heading2"/>
      </w:pPr>
      <w:r>
        <w:rPr>
          <w:rFonts w:ascii="Calibri" w:hAnsi="Calibri"/>
          <w:color w:val="2E74B5"/>
          <w:sz w:val="26"/>
        </w:rPr>
        <w:t>10.3 Remaining validations</w:t>
      </w:r>
    </w:p>
    <w:p>
      <w:pPr>
        <w:pStyle w:val="ListBullet"/>
      </w:pPr>
      <w:r>
        <w:rPr>
          <w:rFonts w:ascii="Calibri" w:hAnsi="Calibri"/>
          <w:color w:val="1F2937"/>
          <w:sz w:val="22"/>
        </w:rPr>
        <w:t>V-13 E-Way extension reason codes.</w:t>
      </w:r>
    </w:p>
    <w:p>
      <w:pPr>
        <w:pStyle w:val="ListBullet"/>
      </w:pPr>
      <w:r>
        <w:rPr>
          <w:rFonts w:ascii="Calibri" w:hAnsi="Calibri"/>
          <w:color w:val="1F2937"/>
          <w:sz w:val="22"/>
        </w:rPr>
        <w:t>V-21 batch-management and shelf-life applicability.</w:t>
      </w:r>
    </w:p>
    <w:p>
      <w:pPr>
        <w:pStyle w:val="ListBullet"/>
      </w:pPr>
      <w:r>
        <w:rPr>
          <w:rFonts w:ascii="Calibri" w:hAnsi="Calibri"/>
          <w:color w:val="1F2937"/>
          <w:sz w:val="22"/>
        </w:rPr>
        <w:t>V-22 portal invoice identifier by process stage.</w:t>
      </w:r>
    </w:p>
    <w:p>
      <w:pPr>
        <w:pStyle w:val="ListBullet"/>
      </w:pPr>
      <w:r>
        <w:rPr>
          <w:rFonts w:ascii="Calibri" w:hAnsi="Calibri"/>
          <w:color w:val="1F2937"/>
          <w:sz w:val="22"/>
        </w:rPr>
        <w:t>V-23 authorisation objects and depot/plant role scoping.</w:t>
      </w:r>
    </w:p>
    <w:p>
      <w:pPr>
        <w:pStyle w:val="ListBullet"/>
      </w:pPr>
      <w:r>
        <w:rPr>
          <w:rFonts w:ascii="Calibri" w:hAnsi="Calibri"/>
          <w:color w:val="1F2937"/>
          <w:sz w:val="22"/>
        </w:rPr>
        <w:t>V-24 invoice and statutory output-document storage/retrieval.</w:t>
      </w:r>
    </w:p>
    <w:p>
      <w:pPr>
        <w:pStyle w:val="ListBullet"/>
      </w:pPr>
      <w:r>
        <w:rPr>
          <w:rFonts w:ascii="Calibri" w:hAnsi="Calibri"/>
          <w:color w:val="1F2937"/>
          <w:sz w:val="22"/>
        </w:rPr>
        <w:t>V-25 whether Modify DI is in scope.</w:t>
      </w:r>
    </w:p>
    <w:p>
      <w:pPr>
        <w:pStyle w:val="ListBullet"/>
      </w:pPr>
      <w:r>
        <w:rPr>
          <w:rFonts w:ascii="Calibri" w:hAnsi="Calibri"/>
          <w:color w:val="1F2937"/>
          <w:sz w:val="22"/>
        </w:rPr>
        <w:t>V-28 authoritative e-Invoice status for portal reads.</w:t>
      </w:r>
    </w:p>
    <w:p>
      <w:r>
        <w:br w:type="page"/>
      </w:r>
    </w:p>
    <w:p>
      <w:pPr>
        <w:pStyle w:val="Heading1"/>
      </w:pPr>
      <w:r>
        <w:rPr>
          <w:rFonts w:ascii="Calibri" w:hAnsi="Calibri"/>
          <w:color w:val="2E74B5"/>
          <w:sz w:val="32"/>
        </w:rPr>
        <w:t>11. Meeting intelligence incorporated</w:t>
      </w:r>
    </w:p>
    <w:p>
      <w:pPr>
        <w:pStyle w:val="Heading2"/>
      </w:pPr>
      <w:r>
        <w:rPr>
          <w:rFonts w:ascii="Calibri" w:hAnsi="Calibri"/>
          <w:color w:val="2E74B5"/>
          <w:sz w:val="26"/>
        </w:rPr>
        <w:t>11.1 Decisions retained</w:t>
      </w:r>
    </w:p>
    <w:p>
      <w:pPr>
        <w:pStyle w:val="ListBullet"/>
      </w:pPr>
      <w:r>
        <w:rPr>
          <w:rFonts w:ascii="Calibri" w:hAnsi="Calibri"/>
          <w:color w:val="1F2937"/>
          <w:sz w:val="22"/>
        </w:rPr>
        <w:t>Use “Order Quantity” and “DI Quantity”.</w:t>
      </w:r>
    </w:p>
    <w:p>
      <w:pPr>
        <w:pStyle w:val="ListBullet"/>
      </w:pPr>
      <w:r>
        <w:rPr>
          <w:rFonts w:ascii="Calibri" w:hAnsi="Calibri"/>
          <w:color w:val="1F2937"/>
          <w:sz w:val="22"/>
        </w:rPr>
        <w:t>DI means outbound delivery.</w:t>
      </w:r>
    </w:p>
    <w:p>
      <w:pPr>
        <w:pStyle w:val="ListBullet"/>
      </w:pPr>
      <w:r>
        <w:rPr>
          <w:rFonts w:ascii="Calibri" w:hAnsi="Calibri"/>
          <w:color w:val="1F2937"/>
          <w:sz w:val="22"/>
        </w:rPr>
        <w:t>One DI/invoice uses one storage location; multiple batches may be permitted within it.</w:t>
      </w:r>
    </w:p>
    <w:p>
      <w:pPr>
        <w:pStyle w:val="ListBullet"/>
      </w:pPr>
      <w:r>
        <w:rPr>
          <w:rFonts w:ascii="Calibri" w:hAnsi="Calibri"/>
          <w:color w:val="1F2937"/>
          <w:sz w:val="22"/>
        </w:rPr>
        <w:t>Batch quantities must equal DI quantity.</w:t>
      </w:r>
    </w:p>
    <w:p>
      <w:pPr>
        <w:pStyle w:val="ListBullet"/>
      </w:pPr>
      <w:r>
        <w:rPr>
          <w:rFonts w:ascii="Calibri" w:hAnsi="Calibri"/>
          <w:color w:val="1F2937"/>
          <w:sz w:val="22"/>
        </w:rPr>
        <w:t>E-Way extension uses Road mode, current location and reason, and extends by 24 hours.</w:t>
      </w:r>
    </w:p>
    <w:p>
      <w:pPr>
        <w:pStyle w:val="ListBullet"/>
      </w:pPr>
      <w:r>
        <w:rPr>
          <w:rFonts w:ascii="Calibri" w:hAnsi="Calibri"/>
          <w:color w:val="1F2937"/>
          <w:sz w:val="22"/>
        </w:rPr>
        <w:t>E-Way Part B remains editable during validity for vehicle change.</w:t>
      </w:r>
    </w:p>
    <w:p>
      <w:pPr>
        <w:pStyle w:val="ListBullet"/>
      </w:pPr>
      <w:r>
        <w:rPr>
          <w:rFonts w:ascii="Calibri" w:hAnsi="Calibri"/>
          <w:color w:val="1F2937"/>
          <w:sz w:val="22"/>
        </w:rPr>
        <w:t>Only open DI quantity is currently approved as editable, before batch determination.</w:t>
      </w:r>
    </w:p>
    <w:p>
      <w:pPr>
        <w:pStyle w:val="ListBullet"/>
      </w:pPr>
      <w:r>
        <w:rPr>
          <w:rFonts w:ascii="Calibri" w:hAnsi="Calibri"/>
          <w:color w:val="1F2937"/>
          <w:sz w:val="22"/>
        </w:rPr>
        <w:t>FleetX is the proposed source of the vehicle tracking link; no SAP posting is assumed by default.</w:t>
      </w:r>
    </w:p>
    <w:p>
      <w:pPr>
        <w:pStyle w:val="Heading2"/>
      </w:pPr>
      <w:r>
        <w:rPr>
          <w:rFonts w:ascii="Calibri" w:hAnsi="Calibri"/>
          <w:color w:val="2E74B5"/>
          <w:sz w:val="26"/>
        </w:rPr>
        <w:t>11.2 Requirements retained</w:t>
      </w:r>
    </w:p>
    <w:p>
      <w:pPr>
        <w:pStyle w:val="ListBullet"/>
      </w:pPr>
      <w:r>
        <w:rPr>
          <w:rFonts w:ascii="Calibri" w:hAnsi="Calibri"/>
          <w:color w:val="1F2937"/>
          <w:sz w:val="22"/>
        </w:rPr>
        <w:t>Pending and partial receipt positions must be visible.</w:t>
      </w:r>
    </w:p>
    <w:p>
      <w:pPr>
        <w:pStyle w:val="ListBullet"/>
      </w:pPr>
      <w:r>
        <w:rPr>
          <w:rFonts w:ascii="Calibri" w:hAnsi="Calibri"/>
          <w:color w:val="1F2937"/>
          <w:sz w:val="22"/>
        </w:rPr>
        <w:t>Transporter search by code or name is needed.</w:t>
      </w:r>
    </w:p>
    <w:p>
      <w:pPr>
        <w:pStyle w:val="ListBullet"/>
      </w:pPr>
      <w:r>
        <w:rPr>
          <w:rFonts w:ascii="Calibri" w:hAnsi="Calibri"/>
          <w:color w:val="1F2937"/>
          <w:sz w:val="22"/>
        </w:rPr>
        <w:t>Freight estimate is shown for validation and must not silently default to zero.</w:t>
      </w:r>
    </w:p>
    <w:p>
      <w:pPr>
        <w:pStyle w:val="ListBullet"/>
      </w:pPr>
      <w:r>
        <w:rPr>
          <w:rFonts w:ascii="Calibri" w:hAnsi="Calibri"/>
          <w:color w:val="1F2937"/>
          <w:sz w:val="22"/>
        </w:rPr>
        <w:t>Driver mobile is mandatory for SMS document delivery.</w:t>
      </w:r>
    </w:p>
    <w:p>
      <w:pPr>
        <w:pStyle w:val="ListBullet"/>
      </w:pPr>
      <w:r>
        <w:rPr>
          <w:rFonts w:ascii="Calibri" w:hAnsi="Calibri"/>
          <w:color w:val="1F2937"/>
          <w:sz w:val="22"/>
        </w:rPr>
        <w:t>Document flow must show the status and identifiers of PGI, shipment, shipment cost, billing, E-Way Bill and e-Invoice.</w:t>
      </w:r>
    </w:p>
    <w:p>
      <w:pPr>
        <w:pStyle w:val="ListBullet"/>
      </w:pPr>
      <w:r>
        <w:rPr>
          <w:rFonts w:ascii="Calibri" w:hAnsi="Calibri"/>
          <w:color w:val="1F2937"/>
          <w:sz w:val="22"/>
        </w:rPr>
        <w:t>Statutory correction must distinguish E-Way Part A, Part B and extension.</w:t>
      </w:r>
    </w:p>
    <w:p>
      <w:pPr>
        <w:pStyle w:val="Heading2"/>
      </w:pPr>
      <w:r>
        <w:rPr>
          <w:rFonts w:ascii="Calibri" w:hAnsi="Calibri"/>
          <w:color w:val="2E74B5"/>
          <w:sz w:val="26"/>
        </w:rPr>
        <w:t>11.3 Still-open meeting questions</w:t>
      </w:r>
    </w:p>
    <w:p>
      <w:pPr>
        <w:pStyle w:val="ListBullet"/>
      </w:pPr>
      <w:r>
        <w:rPr>
          <w:rFonts w:ascii="Calibri" w:hAnsi="Calibri"/>
          <w:color w:val="1F2937"/>
          <w:sz w:val="22"/>
        </w:rPr>
        <w:t>stock insufficiency and missing freight/route blocking;</w:t>
      </w:r>
    </w:p>
    <w:p>
      <w:pPr>
        <w:pStyle w:val="ListBullet"/>
      </w:pPr>
      <w:r>
        <w:rPr>
          <w:rFonts w:ascii="Calibri" w:hAnsi="Calibri"/>
          <w:color w:val="1F2937"/>
          <w:sz w:val="22"/>
        </w:rPr>
        <w:t>storage-location selection timing and downstream lock;</w:t>
      </w:r>
    </w:p>
    <w:p>
      <w:pPr>
        <w:pStyle w:val="ListBullet"/>
      </w:pPr>
      <w:r>
        <w:rPr>
          <w:rFonts w:ascii="Calibri" w:hAnsi="Calibri"/>
          <w:color w:val="1F2937"/>
          <w:sz w:val="22"/>
        </w:rPr>
        <w:t>FIFO/current SAP batch behaviour;</w:t>
      </w:r>
    </w:p>
    <w:p>
      <w:pPr>
        <w:pStyle w:val="ListBullet"/>
      </w:pPr>
      <w:r>
        <w:rPr>
          <w:rFonts w:ascii="Calibri" w:hAnsi="Calibri"/>
          <w:color w:val="1F2937"/>
          <w:sz w:val="22"/>
        </w:rPr>
        <w:t>FTP and EX-works pickup-code treatment;</w:t>
      </w:r>
    </w:p>
    <w:p>
      <w:pPr>
        <w:pStyle w:val="ListBullet"/>
      </w:pPr>
      <w:r>
        <w:rPr>
          <w:rFonts w:ascii="Calibri" w:hAnsi="Calibri"/>
          <w:color w:val="1F2937"/>
          <w:sz w:val="22"/>
        </w:rPr>
        <w:t>exact invoice/ODN/accounting identifiers;</w:t>
      </w:r>
    </w:p>
    <w:p>
      <w:pPr>
        <w:pStyle w:val="ListBullet"/>
      </w:pPr>
      <w:r>
        <w:rPr>
          <w:rFonts w:ascii="Calibri" w:hAnsi="Calibri"/>
          <w:color w:val="1F2937"/>
          <w:sz w:val="22"/>
        </w:rPr>
        <w:t>synchronous versus asynchronous orchestration;</w:t>
      </w:r>
    </w:p>
    <w:p>
      <w:pPr>
        <w:pStyle w:val="ListBullet"/>
      </w:pPr>
      <w:r>
        <w:rPr>
          <w:rFonts w:ascii="Calibri" w:hAnsi="Calibri"/>
          <w:color w:val="1F2937"/>
          <w:sz w:val="22"/>
        </w:rPr>
        <w:t>download source and error-display ownership.</w:t>
      </w:r>
    </w:p>
    <w:p>
      <w:r>
        <w:br w:type="page"/>
      </w:r>
    </w:p>
    <w:p>
      <w:pPr>
        <w:pStyle w:val="Heading1"/>
      </w:pPr>
      <w:r>
        <w:rPr>
          <w:rFonts w:ascii="Calibri" w:hAnsi="Calibri"/>
          <w:color w:val="2E74B5"/>
          <w:sz w:val="32"/>
        </w:rPr>
        <w:t>12. Reconciliation with repository registers</w:t>
      </w:r>
    </w:p>
    <w:p>
      <w:pPr>
        <w:pStyle w:val="Heading2"/>
      </w:pPr>
      <w:r>
        <w:rPr>
          <w:rFonts w:ascii="Calibri" w:hAnsi="Calibri"/>
          <w:color w:val="2E74B5"/>
          <w:sz w:val="26"/>
        </w:rPr>
        <w:t>12.1 API and interface ID mapping</w:t>
      </w:r>
    </w:p>
    <w:tbl>
      <w:tblPr>
        <w:tblStyle w:val="TableGrid"/>
        <w:tblW w:type="dxa" w:w="9360"/>
        <w:jc w:val="left"/>
        <w:tblLayout w:type="fixed"/>
        <w:tblLook w:firstColumn="1" w:firstRow="1" w:lastColumn="0" w:lastRow="0" w:noHBand="0" w:noVBand="1" w:val="04A0"/>
        <w:tblInd w:w="120" w:type="dxa"/>
        <w:tblBorders>
          <w:top w:val="single" w:sz="4" w:color="C9D2DC"/>
          <w:left w:val="single" w:sz="4" w:color="C9D2DC"/>
          <w:bottom w:val="single" w:sz="4" w:color="C9D2DC"/>
          <w:right w:val="single" w:sz="4" w:color="C9D2DC"/>
          <w:insideH w:val="single" w:sz="4" w:color="C9D2DC"/>
          <w:insideV w:val="single" w:sz="4" w:color="C9D2DC"/>
        </w:tblBorders>
      </w:tblPr>
      <w:tblGrid>
        <w:gridCol w:w="1700"/>
        <w:gridCol w:w="3500"/>
        <w:gridCol w:w="4160"/>
      </w:tblGrid>
      <w:tr>
        <w:trPr>
          <w:tblHeader w:val="true"/>
        </w:trPr>
        <w:tc>
          <w:tcPr>
            <w:tcW w:type="dxa" w:w="1700"/>
            <w:tcMar>
              <w:top w:w="80" w:type="dxa"/>
              <w:start w:w="120" w:type="dxa"/>
              <w:bottom w:w="80" w:type="dxa"/>
              <w:end w:w="120" w:type="dxa"/>
            </w:tcMar>
            <w:vAlign w:val="center"/>
            <w:shd w:fill="E8EEF5"/>
          </w:tcPr>
          <w:p>
            <w:pPr>
              <w:spacing w:before="0" w:after="0" w:line="240" w:lineRule="auto"/>
              <w:jc w:val="center"/>
            </w:pPr>
            <w:r>
              <w:rPr>
                <w:b/>
                <w:color w:val="1F4D78"/>
              </w:rPr>
            </w:r>
            <w:r>
              <w:rPr>
                <w:rFonts w:ascii="Calibri" w:hAnsi="Calibri"/>
                <w:b/>
                <w:color w:val="1F4D78"/>
                <w:sz w:val="18"/>
              </w:rPr>
              <w:t>Latest API</w:t>
            </w:r>
          </w:p>
        </w:tc>
        <w:tc>
          <w:tcPr>
            <w:tcW w:type="dxa" w:w="3500"/>
            <w:tcMar>
              <w:top w:w="80" w:type="dxa"/>
              <w:start w:w="120" w:type="dxa"/>
              <w:bottom w:w="80" w:type="dxa"/>
              <w:end w:w="120" w:type="dxa"/>
            </w:tcMar>
            <w:vAlign w:val="center"/>
            <w:shd w:fill="E8EEF5"/>
          </w:tcPr>
          <w:p>
            <w:pPr>
              <w:spacing w:before="0" w:after="0" w:line="240" w:lineRule="auto"/>
              <w:jc w:val="left"/>
            </w:pPr>
            <w:r>
              <w:rPr>
                <w:b/>
                <w:color w:val="1F4D78"/>
              </w:rPr>
            </w:r>
            <w:r>
              <w:rPr>
                <w:rFonts w:ascii="Calibri" w:hAnsi="Calibri"/>
                <w:b/>
                <w:color w:val="1F4D78"/>
                <w:sz w:val="18"/>
              </w:rPr>
              <w:t>Closest current IF IDs</w:t>
            </w:r>
          </w:p>
        </w:tc>
        <w:tc>
          <w:tcPr>
            <w:tcW w:type="dxa" w:w="4160"/>
            <w:tcMar>
              <w:top w:w="80" w:type="dxa"/>
              <w:start w:w="120" w:type="dxa"/>
              <w:bottom w:w="80" w:type="dxa"/>
              <w:end w:w="120" w:type="dxa"/>
            </w:tcMar>
            <w:vAlign w:val="center"/>
            <w:shd w:fill="E8EEF5"/>
          </w:tcPr>
          <w:p>
            <w:pPr>
              <w:spacing w:before="0" w:after="0" w:line="240" w:lineRule="auto"/>
              <w:jc w:val="left"/>
            </w:pPr>
            <w:r>
              <w:rPr>
                <w:b/>
                <w:color w:val="1F4D78"/>
              </w:rPr>
            </w:r>
            <w:r>
              <w:rPr>
                <w:rFonts w:ascii="Calibri" w:hAnsi="Calibri"/>
                <w:b/>
                <w:color w:val="1F4D78"/>
                <w:sz w:val="18"/>
              </w:rPr>
              <w:t>Reconciliation note</w:t>
            </w:r>
          </w:p>
        </w:tc>
      </w:tr>
      <w:t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color w:val="1F2937"/>
                <w:sz w:val="18"/>
              </w:rPr>
              <w:t>API-01</w:t>
            </w:r>
          </w:p>
        </w:tc>
        <w:tc>
          <w:tcPr>
            <w:tcW w:type="dxa" w:w="35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IF-001</w:t>
            </w:r>
          </w:p>
        </w:tc>
        <w:tc>
          <w:tcPr>
            <w:tcW w:type="dxa" w:w="416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Narrow SAP receipt-position read; not Commerce pending-order view</w:t>
            </w:r>
          </w:p>
        </w:tc>
      </w:tr>
      <w:t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color w:val="1F2937"/>
                <w:sz w:val="18"/>
              </w:rPr>
              <w:t>API-02</w:t>
            </w:r>
          </w:p>
        </w:tc>
        <w:tc>
          <w:tcPr>
            <w:tcW w:type="dxa" w:w="35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IF-002</w:t>
            </w:r>
          </w:p>
        </w:tc>
        <w:tc>
          <w:tcPr>
            <w:tcW w:type="dxa" w:w="416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Direct alignment</w:t>
            </w:r>
          </w:p>
        </w:tc>
      </w:tr>
      <w:t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color w:val="1F2937"/>
                <w:sz w:val="18"/>
              </w:rPr>
              <w:t>API-03</w:t>
            </w:r>
          </w:p>
        </w:tc>
        <w:tc>
          <w:tcPr>
            <w:tcW w:type="dxa" w:w="35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IF-003</w:t>
            </w:r>
          </w:p>
        </w:tc>
        <w:tc>
          <w:tcPr>
            <w:tcW w:type="dxa" w:w="416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Predecessor and logistics-field ownership open</w:t>
            </w:r>
          </w:p>
        </w:tc>
      </w:tr>
      <w:t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color w:val="1F2937"/>
                <w:sz w:val="18"/>
              </w:rPr>
              <w:t>API-04</w:t>
            </w:r>
          </w:p>
        </w:tc>
        <w:tc>
          <w:tcPr>
            <w:tcW w:type="dxa" w:w="35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IF-005, IF-016</w:t>
            </w:r>
          </w:p>
        </w:tc>
        <w:tc>
          <w:tcPr>
            <w:tcW w:type="dxa" w:w="416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Combines stock read and batch proposal</w:t>
            </w:r>
          </w:p>
        </w:tc>
      </w:tr>
      <w:t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color w:val="1F2937"/>
                <w:sz w:val="18"/>
              </w:rPr>
              <w:t>API-05</w:t>
            </w:r>
          </w:p>
        </w:tc>
        <w:tc>
          <w:tcPr>
            <w:tcW w:type="dxa" w:w="35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IF-018</w:t>
            </w:r>
          </w:p>
        </w:tc>
        <w:tc>
          <w:tcPr>
            <w:tcW w:type="dxa" w:w="416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Estimate and actual modes need separate contracts internally</w:t>
            </w:r>
          </w:p>
        </w:tc>
      </w:tr>
      <w:t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color w:val="1F2937"/>
                <w:sz w:val="18"/>
              </w:rPr>
              <w:t>API-06</w:t>
            </w:r>
          </w:p>
        </w:tc>
        <w:tc>
          <w:tcPr>
            <w:tcW w:type="dxa" w:w="35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IF-006, IF-009, IF-019, IF-020</w:t>
            </w:r>
          </w:p>
        </w:tc>
        <w:tc>
          <w:tcPr>
            <w:tcW w:type="dxa" w:w="416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One business capability decomposes into commands/statuses</w:t>
            </w:r>
          </w:p>
        </w:tc>
      </w:tr>
      <w:t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color w:val="1F2937"/>
                <w:sz w:val="18"/>
              </w:rPr>
              <w:t>API-07</w:t>
            </w:r>
          </w:p>
        </w:tc>
        <w:tc>
          <w:tcPr>
            <w:tcW w:type="dxa" w:w="35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IF-008, IF-012</w:t>
            </w:r>
          </w:p>
        </w:tc>
        <w:tc>
          <w:tcPr>
            <w:tcW w:type="dxa" w:w="416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Billing correction/reversal requires scenario split</w:t>
            </w:r>
          </w:p>
        </w:tc>
      </w:tr>
      <w:t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color w:val="1F2937"/>
                <w:sz w:val="18"/>
              </w:rPr>
              <w:t>API-08</w:t>
            </w:r>
          </w:p>
        </w:tc>
        <w:tc>
          <w:tcPr>
            <w:tcW w:type="dxa" w:w="35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IF-008, IF-021 and statutory status</w:t>
            </w:r>
          </w:p>
        </w:tc>
        <w:tc>
          <w:tcPr>
            <w:tcW w:type="dxa" w:w="416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Do not conflate billing and IRN correction</w:t>
            </w:r>
          </w:p>
        </w:tc>
      </w:tr>
      <w:t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color w:val="1F2937"/>
                <w:sz w:val="18"/>
              </w:rPr>
              <w:t>API-09</w:t>
            </w:r>
          </w:p>
        </w:tc>
        <w:tc>
          <w:tcPr>
            <w:tcW w:type="dxa" w:w="35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IF-007, IF-023</w:t>
            </w:r>
          </w:p>
        </w:tc>
        <w:tc>
          <w:tcPr>
            <w:tcW w:type="dxa" w:w="416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Extension only; Part B vehicle update remains separate</w:t>
            </w:r>
          </w:p>
        </w:tc>
      </w:tr>
      <w:t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color w:val="1F2937"/>
                <w:sz w:val="18"/>
              </w:rPr>
              <w:t>API-10</w:t>
            </w:r>
          </w:p>
        </w:tc>
        <w:tc>
          <w:tcPr>
            <w:tcW w:type="dxa" w:w="350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IF-004, IF-015</w:t>
            </w:r>
          </w:p>
        </w:tc>
        <w:tc>
          <w:tcPr>
            <w:tcW w:type="dxa" w:w="4160"/>
            <w:tcMar>
              <w:top w:w="80" w:type="dxa"/>
              <w:start w:w="120" w:type="dxa"/>
              <w:bottom w:w="80" w:type="dxa"/>
              <w:end w:w="120" w:type="dxa"/>
            </w:tcMar>
            <w:vAlign w:val="center"/>
          </w:tcPr>
          <w:p>
            <w:pPr>
              <w:spacing w:before="0" w:after="0" w:line="240" w:lineRule="auto"/>
              <w:jc w:val="left"/>
            </w:pPr>
            <w:r/>
            <w:r>
              <w:rPr>
                <w:rFonts w:ascii="Calibri" w:hAnsi="Calibri"/>
                <w:color w:val="1F2937"/>
                <w:sz w:val="18"/>
              </w:rPr>
              <w:t>Proposed addition; currently quantity-only decision</w:t>
            </w:r>
          </w:p>
        </w:tc>
      </w:tr>
    </w:tbl>
    <w:p>
      <w:pPr>
        <w:spacing w:after="20"/>
      </w:pPr>
    </w:p>
    <w:p>
      <w:pPr>
        <w:widowControl/>
      </w:pPr>
      <w:r>
        <w:rPr>
          <w:rFonts w:ascii="Calibri" w:hAnsi="Calibri"/>
          <w:color w:val="1F2937"/>
          <w:sz w:val="22"/>
        </w:rPr>
        <w:t xml:space="preserve">IF-010, IF-011, IF-013, IF-014, IF-017, IF-022 and IF-024 remain visible requirements or cross-system interfaces outside the ten business APIs. The 31 </w:t>
      </w:r>
      <w:r>
        <w:rPr>
          <w:rFonts w:ascii="Consolas" w:hAnsi="Consolas"/>
          <w:color w:val="1F4D78"/>
          <w:sz w:val="20"/>
        </w:rPr>
        <w:t>A-*</w:t>
      </w:r>
      <w:r>
        <w:rPr>
          <w:rFonts w:ascii="Calibri" w:hAnsi="Calibri"/>
          <w:color w:val="1F2937"/>
          <w:sz w:val="22"/>
        </w:rPr>
        <w:t xml:space="preserve"> endpoints in </w:t>
      </w:r>
      <w:r>
        <w:rPr>
          <w:rFonts w:ascii="Consolas" w:hAnsi="Consolas"/>
          <w:color w:val="1F4D78"/>
          <w:sz w:val="20"/>
        </w:rPr>
        <w:t>SAP_API_DOSSIER.md</w:t>
      </w:r>
      <w:r>
        <w:rPr>
          <w:rFonts w:ascii="Calibri" w:hAnsi="Calibri"/>
          <w:color w:val="1F2937"/>
          <w:sz w:val="22"/>
        </w:rPr>
        <w:t xml:space="preserve"> are a finer technical decomposition and should be mapped, not discarded.</w:t>
      </w:r>
    </w:p>
    <w:p>
      <w:pPr>
        <w:pStyle w:val="Heading2"/>
      </w:pPr>
      <w:r>
        <w:rPr>
          <w:rFonts w:ascii="Calibri" w:hAnsi="Calibri"/>
          <w:color w:val="2E74B5"/>
          <w:sz w:val="26"/>
        </w:rPr>
        <w:t>12.2 Affected registers</w:t>
      </w:r>
    </w:p>
    <w:p>
      <w:pPr>
        <w:widowControl/>
      </w:pPr>
      <w:r>
        <w:rPr>
          <w:rFonts w:ascii="Calibri" w:hAnsi="Calibri"/>
          <w:color w:val="1F2937"/>
          <w:sz w:val="22"/>
        </w:rPr>
        <w:t>The following registers need an owner-approved update after this document is reviewed:</w:t>
      </w:r>
    </w:p>
    <w:p>
      <w:pPr>
        <w:pStyle w:val="ListBullet"/>
      </w:pPr>
      <w:r>
        <w:rPr>
          <w:rFonts w:ascii="Consolas" w:hAnsi="Consolas"/>
          <w:color w:val="1F4D78"/>
          <w:sz w:val="20"/>
        </w:rPr>
        <w:t>MEETING_INGEST.md</w:t>
      </w:r>
      <w:r>
        <w:rPr>
          <w:rFonts w:ascii="Calibri" w:hAnsi="Calibri"/>
          <w:color w:val="1F2937"/>
          <w:sz w:val="22"/>
        </w:rPr>
        <w:t xml:space="preserve">: add the five supplied artifacts with unique source IDs and correct duplicate </w:t>
      </w:r>
      <w:r>
        <w:rPr>
          <w:rFonts w:ascii="Consolas" w:hAnsi="Consolas"/>
          <w:color w:val="1F4D78"/>
          <w:sz w:val="20"/>
        </w:rPr>
        <w:t>SRC-TECH-001</w:t>
      </w:r>
      <w:r>
        <w:rPr>
          <w:rFonts w:ascii="Calibri" w:hAnsi="Calibri"/>
          <w:color w:val="1F2937"/>
          <w:sz w:val="22"/>
        </w:rPr>
        <w:t>.</w:t>
      </w:r>
    </w:p>
    <w:p>
      <w:pPr>
        <w:pStyle w:val="ListBullet"/>
      </w:pPr>
      <w:r>
        <w:rPr>
          <w:rFonts w:ascii="Consolas" w:hAnsi="Consolas"/>
          <w:color w:val="1F4D78"/>
          <w:sz w:val="20"/>
        </w:rPr>
        <w:t>PROJECT_BRAIN.md</w:t>
      </w:r>
      <w:r>
        <w:rPr>
          <w:rFonts w:ascii="Calibri" w:hAnsi="Calibri"/>
          <w:color w:val="1F2937"/>
          <w:sz w:val="22"/>
        </w:rPr>
        <w:t>: mark DI terminology and Integration Suite runtime evidence at the right confidence.</w:t>
      </w:r>
    </w:p>
    <w:p>
      <w:pPr>
        <w:pStyle w:val="ListBullet"/>
      </w:pPr>
      <w:r>
        <w:rPr>
          <w:rFonts w:ascii="Consolas" w:hAnsi="Consolas"/>
          <w:color w:val="1F4D78"/>
          <w:sz w:val="20"/>
        </w:rPr>
        <w:t>ARCHITECTURE.md</w:t>
      </w:r>
      <w:r>
        <w:rPr>
          <w:rFonts w:ascii="Calibri" w:hAnsi="Calibri"/>
          <w:color w:val="1F2937"/>
          <w:sz w:val="22"/>
        </w:rPr>
        <w:t>: replace the stale “whether Commerce calls CPI exclusively” wording with the confirmed in-path statement while keeping external statutory ownership open.</w:t>
      </w:r>
    </w:p>
    <w:p>
      <w:pPr>
        <w:pStyle w:val="ListBullet"/>
      </w:pPr>
      <w:r>
        <w:rPr>
          <w:rFonts w:ascii="Consolas" w:hAnsi="Consolas"/>
          <w:color w:val="1F4D78"/>
          <w:sz w:val="20"/>
        </w:rPr>
        <w:t>SYSTEM_OF_RECORD_MATRIX.md</w:t>
      </w:r>
      <w:r>
        <w:rPr>
          <w:rFonts w:ascii="Calibri" w:hAnsi="Calibri"/>
          <w:color w:val="1F2937"/>
          <w:sz w:val="22"/>
        </w:rPr>
        <w:t>: add Commerce T1/T2 and Datasphere ownership claims with provenance and unresolved duplication.</w:t>
      </w:r>
    </w:p>
    <w:p>
      <w:pPr>
        <w:pStyle w:val="ListBullet"/>
      </w:pPr>
      <w:r>
        <w:rPr>
          <w:rFonts w:ascii="Consolas" w:hAnsi="Consolas"/>
          <w:color w:val="1F4D78"/>
          <w:sz w:val="20"/>
        </w:rPr>
        <w:t>INTERFACE_REGISTER.md</w:t>
      </w:r>
      <w:r>
        <w:rPr>
          <w:rFonts w:ascii="Calibri" w:hAnsi="Calibri"/>
          <w:color w:val="1F2937"/>
          <w:sz w:val="22"/>
        </w:rPr>
        <w:t>: add explicit API-01..API-10 mappings without deleting broader IF requirements.</w:t>
      </w:r>
    </w:p>
    <w:p>
      <w:pPr>
        <w:pStyle w:val="ListBullet"/>
      </w:pPr>
      <w:r>
        <w:rPr>
          <w:rFonts w:ascii="Consolas" w:hAnsi="Consolas"/>
          <w:color w:val="1F4D78"/>
          <w:sz w:val="20"/>
        </w:rPr>
        <w:t>REQUIREMENTS_MATRIX.md</w:t>
      </w:r>
      <w:r>
        <w:rPr>
          <w:rFonts w:ascii="Calibri" w:hAnsi="Calibri"/>
          <w:color w:val="1F2937"/>
          <w:sz w:val="22"/>
        </w:rPr>
        <w:t>: distinguish business capabilities from technical endpoint decomposition.</w:t>
      </w:r>
    </w:p>
    <w:p>
      <w:pPr>
        <w:pStyle w:val="ListBullet"/>
      </w:pPr>
      <w:r>
        <w:rPr>
          <w:rFonts w:ascii="Consolas" w:hAnsi="Consolas"/>
          <w:color w:val="1F4D78"/>
          <w:sz w:val="20"/>
        </w:rPr>
        <w:t>OPEN_QUESTIONS.md</w:t>
      </w:r>
      <w:r>
        <w:rPr>
          <w:rFonts w:ascii="Calibri" w:hAnsi="Calibri"/>
          <w:color w:val="1F2937"/>
          <w:sz w:val="22"/>
        </w:rPr>
        <w:t>: map Q-items to V-01..V-29 and close only those backed by authorised evidence.</w:t>
      </w:r>
    </w:p>
    <w:p>
      <w:pPr>
        <w:pStyle w:val="ListBullet"/>
      </w:pPr>
      <w:r>
        <w:rPr>
          <w:rFonts w:ascii="Consolas" w:hAnsi="Consolas"/>
          <w:color w:val="1F4D78"/>
          <w:sz w:val="20"/>
        </w:rPr>
        <w:t>DECISION_LOG.md</w:t>
      </w:r>
      <w:r>
        <w:rPr>
          <w:rFonts w:ascii="Calibri" w:hAnsi="Calibri"/>
          <w:color w:val="1F2937"/>
          <w:sz w:val="22"/>
        </w:rPr>
        <w:t>: record only owner-approved decisions, never engineering assumptions.</w:t>
      </w:r>
    </w:p>
    <w:p>
      <w:pPr>
        <w:pStyle w:val="ListBullet"/>
      </w:pPr>
      <w:r>
        <w:rPr>
          <w:rFonts w:ascii="Consolas" w:hAnsi="Consolas"/>
          <w:color w:val="1F4D78"/>
          <w:sz w:val="20"/>
        </w:rPr>
        <w:t>CONFLICT_REGISTER.md</w:t>
      </w:r>
      <w:r>
        <w:rPr>
          <w:rFonts w:ascii="Calibri" w:hAnsi="Calibri"/>
          <w:color w:val="1F2937"/>
          <w:sz w:val="22"/>
        </w:rPr>
        <w:t>: log DI-edit scope, vehicle/driver document ownership, API-count granularity and metadata drift.</w:t>
      </w:r>
    </w:p>
    <w:p>
      <w:pPr>
        <w:widowControl/>
      </w:pPr>
      <w:r>
        <w:rPr>
          <w:rFonts w:ascii="Calibri" w:hAnsi="Calibri"/>
          <w:color w:val="1F2937"/>
          <w:sz w:val="22"/>
        </w:rPr>
        <w:t>No register is updated by this document alone.</w:t>
      </w:r>
    </w:p>
    <w:p>
      <w:r>
        <w:br w:type="page"/>
      </w:r>
    </w:p>
    <w:p>
      <w:pPr>
        <w:pStyle w:val="Heading1"/>
      </w:pPr>
      <w:r>
        <w:rPr>
          <w:rFonts w:ascii="Calibri" w:hAnsi="Calibri"/>
          <w:color w:val="2E74B5"/>
          <w:sz w:val="32"/>
        </w:rPr>
        <w:t>13. Highest-impact missing decisions</w:t>
      </w:r>
    </w:p>
    <w:p>
      <w:pPr>
        <w:pStyle w:val="ListNumber"/>
      </w:pPr>
      <w:r>
        <w:rPr>
          <w:rFonts w:ascii="Calibri" w:hAnsi="Calibri"/>
          <w:b/>
          <w:color w:val="1F2937"/>
          <w:sz w:val="22"/>
        </w:rPr>
        <w:t>Landscape fact set:</w:t>
      </w:r>
      <w:r>
        <w:rPr>
          <w:rFonts w:ascii="Calibri" w:hAnsi="Calibri"/>
          <w:color w:val="1F2937"/>
          <w:sz w:val="22"/>
        </w:rPr>
        <w:t xml:space="preserve"> release, components, Document Compliance, Gateway topology, authorisation model and transport route.</w:t>
      </w:r>
    </w:p>
    <w:p>
      <w:pPr>
        <w:pStyle w:val="ListNumber"/>
      </w:pPr>
      <w:r>
        <w:rPr>
          <w:rFonts w:ascii="Calibri" w:hAnsi="Calibri"/>
          <w:b/>
          <w:color w:val="1F2937"/>
          <w:sz w:val="22"/>
        </w:rPr>
        <w:t>Invoice interaction model:</w:t>
      </w:r>
      <w:r>
        <w:rPr>
          <w:rFonts w:ascii="Calibri" w:hAnsi="Calibri"/>
          <w:color w:val="1F2937"/>
          <w:sz w:val="22"/>
        </w:rPr>
        <w:t xml:space="preserve"> synchronous request, staged process or hybrid with status polling.</w:t>
      </w:r>
    </w:p>
    <w:p>
      <w:pPr>
        <w:pStyle w:val="ListNumber"/>
      </w:pPr>
      <w:r>
        <w:rPr>
          <w:rFonts w:ascii="Calibri" w:hAnsi="Calibri"/>
          <w:b/>
          <w:color w:val="1F2937"/>
          <w:sz w:val="22"/>
        </w:rPr>
        <w:t>Statutory ownership:</w:t>
      </w:r>
      <w:r>
        <w:rPr>
          <w:rFonts w:ascii="Calibri" w:hAnsi="Calibri"/>
          <w:color w:val="1F2937"/>
          <w:sz w:val="22"/>
        </w:rPr>
        <w:t xml:space="preserve"> CPI or ABAP for outbound calls, credentials, retries and persistence.</w:t>
      </w:r>
    </w:p>
    <w:p>
      <w:pPr>
        <w:pStyle w:val="ListNumber"/>
      </w:pPr>
      <w:r>
        <w:rPr>
          <w:rFonts w:ascii="Calibri" w:hAnsi="Calibri"/>
          <w:b/>
          <w:color w:val="1F2937"/>
          <w:sz w:val="22"/>
        </w:rPr>
        <w:t>Delivery model:</w:t>
      </w:r>
      <w:r>
        <w:rPr>
          <w:rFonts w:ascii="Calibri" w:hAnsi="Calibri"/>
          <w:color w:val="1F2937"/>
          <w:sz w:val="22"/>
        </w:rPr>
        <w:t xml:space="preserve"> sales order versus STO and the exact SAP home for vehicle, driver and transporter.</w:t>
      </w:r>
    </w:p>
    <w:p>
      <w:pPr>
        <w:pStyle w:val="ListNumber"/>
      </w:pPr>
      <w:r>
        <w:rPr>
          <w:rFonts w:ascii="Calibri" w:hAnsi="Calibri"/>
          <w:b/>
          <w:color w:val="1F2937"/>
          <w:sz w:val="22"/>
        </w:rPr>
        <w:t>Master-data contract:</w:t>
      </w:r>
      <w:r>
        <w:rPr>
          <w:rFonts w:ascii="Calibri" w:hAnsi="Calibri"/>
          <w:color w:val="1F2937"/>
          <w:sz w:val="22"/>
        </w:rPr>
        <w:t xml:space="preserve"> authoritative codes and Commerce-to-SAP mapping owner.</w:t>
      </w:r>
    </w:p>
    <w:p>
      <w:pPr>
        <w:pStyle w:val="ListNumber"/>
      </w:pPr>
      <w:r>
        <w:rPr>
          <w:rFonts w:ascii="Calibri" w:hAnsi="Calibri"/>
          <w:b/>
          <w:color w:val="1F2937"/>
          <w:sz w:val="22"/>
        </w:rPr>
        <w:t>Stock and batch semantics:</w:t>
      </w:r>
      <w:r>
        <w:rPr>
          <w:rFonts w:ascii="Calibri" w:hAnsi="Calibri"/>
          <w:color w:val="1F2937"/>
          <w:sz w:val="22"/>
        </w:rPr>
        <w:t xml:space="preserve"> unrestricted versus ATP versus batch-eligible; SAP versus portal sequencing.</w:t>
      </w:r>
    </w:p>
    <w:p>
      <w:pPr>
        <w:pStyle w:val="ListNumber"/>
      </w:pPr>
      <w:r>
        <w:rPr>
          <w:rFonts w:ascii="Calibri" w:hAnsi="Calibri"/>
          <w:b/>
          <w:color w:val="1F2937"/>
          <w:sz w:val="22"/>
        </w:rPr>
        <w:t>Modify DI scope:</w:t>
      </w:r>
      <w:r>
        <w:rPr>
          <w:rFonts w:ascii="Calibri" w:hAnsi="Calibri"/>
          <w:color w:val="1F2937"/>
          <w:sz w:val="22"/>
        </w:rPr>
        <w:t xml:space="preserve"> quantity-only decision versus proposed additional editable fields.</w:t>
      </w:r>
    </w:p>
    <w:p>
      <w:pPr>
        <w:pStyle w:val="ListNumber"/>
      </w:pPr>
      <w:r>
        <w:rPr>
          <w:rFonts w:ascii="Calibri" w:hAnsi="Calibri"/>
          <w:b/>
          <w:color w:val="1F2937"/>
          <w:sz w:val="22"/>
        </w:rPr>
        <w:t>External idempotency design:</w:t>
      </w:r>
      <w:r>
        <w:rPr>
          <w:rFonts w:ascii="Calibri" w:hAnsi="Calibri"/>
          <w:color w:val="1F2937"/>
          <w:sz w:val="22"/>
        </w:rPr>
        <w:t xml:space="preserve"> storage, lock, retention and replay behaviour for every command.</w:t>
      </w:r>
    </w:p>
    <w:p>
      <w:pPr>
        <w:pStyle w:val="ListNumber"/>
      </w:pPr>
      <w:r>
        <w:rPr>
          <w:rFonts w:ascii="Calibri" w:hAnsi="Calibri"/>
          <w:b/>
          <w:color w:val="1F2937"/>
          <w:sz w:val="22"/>
        </w:rPr>
        <w:t>Canonical backlog:</w:t>
      </w:r>
      <w:r>
        <w:rPr>
          <w:rFonts w:ascii="Calibri" w:hAnsi="Calibri"/>
          <w:color w:val="1F2937"/>
          <w:sz w:val="22"/>
        </w:rPr>
        <w:t xml:space="preserve"> ten business APIs, 24 interfaces and 31 endpoints mapped into one governed model.</w:t>
      </w:r>
    </w:p>
    <w:p>
      <w:r>
        <w:br w:type="page"/>
      </w:r>
    </w:p>
    <w:p>
      <w:pPr>
        <w:pStyle w:val="Heading1"/>
      </w:pPr>
      <w:r>
        <w:rPr>
          <w:rFonts w:ascii="Calibri" w:hAnsi="Calibri"/>
          <w:color w:val="2E74B5"/>
          <w:sz w:val="32"/>
        </w:rPr>
        <w:t>14. Bounded pre-access plan</w:t>
      </w:r>
    </w:p>
    <w:p>
      <w:pPr>
        <w:pStyle w:val="Heading2"/>
      </w:pPr>
      <w:r>
        <w:rPr>
          <w:rFonts w:ascii="Calibri" w:hAnsi="Calibri"/>
          <w:color w:val="2E74B5"/>
          <w:sz w:val="26"/>
        </w:rPr>
        <w:t>Before DEV access</w:t>
      </w:r>
    </w:p>
    <w:p>
      <w:pPr>
        <w:pStyle w:val="ListBullet"/>
      </w:pPr>
      <w:r>
        <w:rPr>
          <w:rFonts w:ascii="Calibri" w:hAnsi="Calibri"/>
          <w:color w:val="1F2937"/>
          <w:sz w:val="22"/>
        </w:rPr>
        <w:t>Freeze no SAP object names or DDIC fields.</w:t>
      </w:r>
    </w:p>
    <w:p>
      <w:pPr>
        <w:pStyle w:val="ListBullet"/>
      </w:pPr>
      <w:r>
        <w:rPr>
          <w:rFonts w:ascii="Calibri" w:hAnsi="Calibri"/>
          <w:color w:val="1F2937"/>
          <w:sz w:val="22"/>
        </w:rPr>
        <w:t>Obtain the approved BRD, CPI workbook, client API register and landscape diagram.</w:t>
      </w:r>
    </w:p>
    <w:p>
      <w:pPr>
        <w:pStyle w:val="ListBullet"/>
      </w:pPr>
      <w:r>
        <w:rPr>
          <w:rFonts w:ascii="Calibri" w:hAnsi="Calibri"/>
          <w:color w:val="1F2937"/>
          <w:sz w:val="22"/>
        </w:rPr>
        <w:t>Assign source IDs and reconcile contradictions.</w:t>
      </w:r>
    </w:p>
    <w:p>
      <w:pPr>
        <w:pStyle w:val="ListBullet"/>
      </w:pPr>
      <w:r>
        <w:rPr>
          <w:rFonts w:ascii="Calibri" w:hAnsi="Calibri"/>
          <w:color w:val="1F2937"/>
          <w:sz w:val="22"/>
        </w:rPr>
        <w:t>Schedule owner sessions for V-03, V-04, V-05, V-12, V-25, V-26, V-27 and V-29.</w:t>
      </w:r>
    </w:p>
    <w:p>
      <w:pPr>
        <w:pStyle w:val="ListBullet"/>
      </w:pPr>
      <w:r>
        <w:rPr>
          <w:rFonts w:ascii="Calibri" w:hAnsi="Calibri"/>
          <w:color w:val="1F2937"/>
          <w:sz w:val="22"/>
        </w:rPr>
        <w:t>Draft contract examples only as non-binding samples.</w:t>
      </w:r>
    </w:p>
    <w:p>
      <w:pPr>
        <w:pStyle w:val="ListBullet"/>
      </w:pPr>
      <w:r>
        <w:rPr>
          <w:rFonts w:ascii="Calibri" w:hAnsi="Calibri"/>
          <w:color w:val="1F2937"/>
          <w:sz w:val="22"/>
        </w:rPr>
        <w:t>Agree acceptance evidence for each validation.</w:t>
      </w:r>
    </w:p>
    <w:p>
      <w:pPr>
        <w:pStyle w:val="Heading2"/>
      </w:pPr>
      <w:r>
        <w:rPr>
          <w:rFonts w:ascii="Calibri" w:hAnsi="Calibri"/>
          <w:color w:val="2E74B5"/>
          <w:sz w:val="26"/>
        </w:rPr>
        <w:t>First two days after DEV access</w:t>
      </w:r>
    </w:p>
    <w:p>
      <w:pPr>
        <w:pStyle w:val="ListBullet"/>
      </w:pPr>
      <w:r>
        <w:rPr>
          <w:rFonts w:ascii="Calibri" w:hAnsi="Calibri"/>
          <w:color w:val="1F2937"/>
          <w:sz w:val="22"/>
        </w:rPr>
        <w:t>capture system status and component levels;</w:t>
      </w:r>
    </w:p>
    <w:p>
      <w:pPr>
        <w:pStyle w:val="ListBullet"/>
      </w:pPr>
      <w:r>
        <w:rPr>
          <w:rFonts w:ascii="Calibri" w:hAnsi="Calibri"/>
          <w:color w:val="1F2937"/>
          <w:sz w:val="22"/>
        </w:rPr>
        <w:t>inspect Document Compliance and transport solution;</w:t>
      </w:r>
    </w:p>
    <w:p>
      <w:pPr>
        <w:pStyle w:val="ListBullet"/>
      </w:pPr>
      <w:r>
        <w:rPr>
          <w:rFonts w:ascii="Calibri" w:hAnsi="Calibri"/>
          <w:color w:val="1F2937"/>
          <w:sz w:val="22"/>
        </w:rPr>
        <w:t>confirm Gateway topology and service-registration process;</w:t>
      </w:r>
    </w:p>
    <w:p>
      <w:pPr>
        <w:pStyle w:val="ListBullet"/>
      </w:pPr>
      <w:r>
        <w:rPr>
          <w:rFonts w:ascii="Calibri" w:hAnsi="Calibri"/>
          <w:color w:val="1F2937"/>
          <w:sz w:val="22"/>
        </w:rPr>
        <w:t>verify batch management, shelf life and authorisation objects;</w:t>
      </w:r>
    </w:p>
    <w:p>
      <w:pPr>
        <w:pStyle w:val="ListBullet"/>
      </w:pPr>
      <w:r>
        <w:rPr>
          <w:rFonts w:ascii="Calibri" w:hAnsi="Calibri"/>
          <w:color w:val="1F2937"/>
          <w:sz w:val="22"/>
        </w:rPr>
        <w:t>locate approved package, namespace, message and exception conventions;</w:t>
      </w:r>
    </w:p>
    <w:p>
      <w:pPr>
        <w:pStyle w:val="ListBullet"/>
      </w:pPr>
      <w:r>
        <w:rPr>
          <w:rFonts w:ascii="Calibri" w:hAnsi="Calibri"/>
          <w:color w:val="1F2937"/>
          <w:sz w:val="22"/>
        </w:rPr>
        <w:t>record findings against V-01, V-02, V-06, V-15, V-16, V-21 and V-23.</w:t>
      </w:r>
    </w:p>
    <w:p>
      <w:pPr>
        <w:pStyle w:val="Heading2"/>
      </w:pPr>
      <w:r>
        <w:rPr>
          <w:rFonts w:ascii="Calibri" w:hAnsi="Calibri"/>
          <w:color w:val="2E74B5"/>
          <w:sz w:val="26"/>
        </w:rPr>
        <w:t>First two weeks after access</w:t>
      </w:r>
    </w:p>
    <w:p>
      <w:pPr>
        <w:pStyle w:val="ListBullet"/>
      </w:pPr>
      <w:r>
        <w:rPr>
          <w:rFonts w:ascii="Calibri" w:hAnsi="Calibri"/>
          <w:color w:val="1F2937"/>
          <w:sz w:val="22"/>
        </w:rPr>
        <w:t>trace successful trade, non-trade, FTP, EX-works and STO examples;</w:t>
      </w:r>
    </w:p>
    <w:p>
      <w:pPr>
        <w:pStyle w:val="ListBullet"/>
      </w:pPr>
      <w:r>
        <w:rPr>
          <w:rFonts w:ascii="Calibri" w:hAnsi="Calibri"/>
          <w:color w:val="1F2937"/>
          <w:sz w:val="22"/>
        </w:rPr>
        <w:t>validate candidate released APIs/BAPIs and CDS views;</w:t>
      </w:r>
    </w:p>
    <w:p>
      <w:pPr>
        <w:pStyle w:val="ListBullet"/>
      </w:pPr>
      <w:r>
        <w:rPr>
          <w:rFonts w:ascii="Calibri" w:hAnsi="Calibri"/>
          <w:color w:val="1F2937"/>
          <w:sz w:val="22"/>
        </w:rPr>
        <w:t>agree the master-data dictionary and mapping ownership;</w:t>
      </w:r>
    </w:p>
    <w:p>
      <w:pPr>
        <w:pStyle w:val="ListBullet"/>
      </w:pPr>
      <w:r>
        <w:rPr>
          <w:rFonts w:ascii="Calibri" w:hAnsi="Calibri"/>
          <w:color w:val="1F2937"/>
          <w:sz w:val="22"/>
        </w:rPr>
        <w:t>prove one read contract and one safely idempotent command;</w:t>
      </w:r>
    </w:p>
    <w:p>
      <w:pPr>
        <w:pStyle w:val="ListBullet"/>
      </w:pPr>
      <w:r>
        <w:rPr>
          <w:rFonts w:ascii="Calibri" w:hAnsi="Calibri"/>
          <w:color w:val="1F2937"/>
          <w:sz w:val="22"/>
        </w:rPr>
        <w:t>decide the API-06 state machine before build;</w:t>
      </w:r>
    </w:p>
    <w:p>
      <w:pPr>
        <w:pStyle w:val="ListBullet"/>
      </w:pPr>
      <w:r>
        <w:rPr>
          <w:rFonts w:ascii="Calibri" w:hAnsi="Calibri"/>
          <w:color w:val="1F2937"/>
          <w:sz w:val="22"/>
        </w:rPr>
        <w:t>reclassify APIs and narrow the effort estimate;</w:t>
      </w:r>
    </w:p>
    <w:p>
      <w:pPr>
        <w:pStyle w:val="ListBullet"/>
      </w:pPr>
      <w:r>
        <w:rPr>
          <w:rFonts w:ascii="Calibri" w:hAnsi="Calibri"/>
          <w:color w:val="1F2937"/>
          <w:sz w:val="22"/>
        </w:rPr>
        <w:t>publish the verified specification for approval.</w:t>
      </w:r>
    </w:p>
    <w:p>
      <w:r>
        <w:br w:type="page"/>
      </w:r>
    </w:p>
    <w:p>
      <w:pPr>
        <w:pStyle w:val="Heading1"/>
      </w:pPr>
      <w:r>
        <w:rPr>
          <w:rFonts w:ascii="Calibri" w:hAnsi="Calibri"/>
          <w:color w:val="2E74B5"/>
          <w:sz w:val="32"/>
        </w:rPr>
        <w:t>Appendix A - Non-functional acceptance checklist</w:t>
      </w:r>
    </w:p>
    <w:p>
      <w:pPr>
        <w:pStyle w:val="ListBullet"/>
      </w:pPr>
      <w:r>
        <w:rPr>
          <w:rFonts w:ascii="Calibri" w:hAnsi="Calibri"/>
          <w:color w:val="1F2937"/>
          <w:sz w:val="22"/>
        </w:rPr>
        <w:t>Every command is idempotent and concurrency-safe.</w:t>
      </w:r>
    </w:p>
    <w:p>
      <w:pPr>
        <w:pStyle w:val="ListBullet"/>
      </w:pPr>
      <w:r>
        <w:rPr>
          <w:rFonts w:ascii="Calibri" w:hAnsi="Calibri"/>
          <w:color w:val="1F2937"/>
          <w:sz w:val="22"/>
        </w:rPr>
        <w:t>Correlation ID is visible across Commerce, CPI and SAP logs.</w:t>
      </w:r>
    </w:p>
    <w:p>
      <w:pPr>
        <w:pStyle w:val="ListBullet"/>
      </w:pPr>
      <w:r>
        <w:rPr>
          <w:rFonts w:ascii="Calibri" w:hAnsi="Calibri"/>
          <w:color w:val="1F2937"/>
          <w:sz w:val="22"/>
        </w:rPr>
        <w:t>No API fabricates MRN, IRN, E-Way Bill or other business identifiers.</w:t>
      </w:r>
    </w:p>
    <w:p>
      <w:pPr>
        <w:pStyle w:val="ListBullet"/>
      </w:pPr>
      <w:r>
        <w:rPr>
          <w:rFonts w:ascii="Calibri" w:hAnsi="Calibri"/>
          <w:color w:val="1F2937"/>
          <w:sz w:val="22"/>
        </w:rPr>
        <w:t>All quantity, amount, UOM, currency, key and time fields have explicit types.</w:t>
      </w:r>
    </w:p>
    <w:p>
      <w:pPr>
        <w:pStyle w:val="ListBullet"/>
      </w:pPr>
      <w:r>
        <w:rPr>
          <w:rFonts w:ascii="Calibri" w:hAnsi="Calibri"/>
          <w:color w:val="1F2937"/>
          <w:sz w:val="22"/>
        </w:rPr>
        <w:t>Read APIs are filtered, paginated and performance-tested.</w:t>
      </w:r>
    </w:p>
    <w:p>
      <w:pPr>
        <w:pStyle w:val="ListBullet"/>
      </w:pPr>
      <w:r>
        <w:rPr>
          <w:rFonts w:ascii="Calibri" w:hAnsi="Calibri"/>
          <w:color w:val="1F2937"/>
          <w:sz w:val="22"/>
        </w:rPr>
        <w:t>Authorisation is enforced in SAP, not trusted from the caller.</w:t>
      </w:r>
    </w:p>
    <w:p>
      <w:pPr>
        <w:pStyle w:val="ListBullet"/>
      </w:pPr>
      <w:r>
        <w:rPr>
          <w:rFonts w:ascii="Calibri" w:hAnsi="Calibri"/>
          <w:color w:val="1F2937"/>
          <w:sz w:val="22"/>
        </w:rPr>
        <w:t>Errors use stable codes and agreed HTTP status mapping.</w:t>
      </w:r>
    </w:p>
    <w:p>
      <w:pPr>
        <w:pStyle w:val="ListBullet"/>
      </w:pPr>
      <w:r>
        <w:rPr>
          <w:rFonts w:ascii="Calibri" w:hAnsi="Calibri"/>
          <w:color w:val="1F2937"/>
          <w:sz w:val="22"/>
        </w:rPr>
        <w:t>Multi-stage processes expose partial state and safe resume.</w:t>
      </w:r>
    </w:p>
    <w:p>
      <w:pPr>
        <w:pStyle w:val="ListBullet"/>
      </w:pPr>
      <w:r>
        <w:rPr>
          <w:rFonts w:ascii="Calibri" w:hAnsi="Calibri"/>
          <w:color w:val="1F2937"/>
          <w:sz w:val="22"/>
        </w:rPr>
        <w:t>Standard SAP application logging is used where suitable.</w:t>
      </w:r>
    </w:p>
    <w:p>
      <w:pPr>
        <w:pStyle w:val="ListBullet"/>
      </w:pPr>
      <w:r>
        <w:rPr>
          <w:rFonts w:ascii="Calibri" w:hAnsi="Calibri"/>
          <w:color w:val="1F2937"/>
          <w:sz w:val="22"/>
        </w:rPr>
        <w:t>Secrets are held in approved secure stores.</w:t>
      </w:r>
    </w:p>
    <w:p>
      <w:pPr>
        <w:pStyle w:val="ListBullet"/>
      </w:pPr>
      <w:r>
        <w:rPr>
          <w:rFonts w:ascii="Calibri" w:hAnsi="Calibri"/>
          <w:color w:val="1F2937"/>
          <w:sz w:val="22"/>
        </w:rPr>
        <w:t>Reversals and corrections preserve document flow and audit.</w:t>
      </w:r>
    </w:p>
    <w:p>
      <w:pPr>
        <w:pStyle w:val="ListBullet"/>
      </w:pPr>
      <w:r>
        <w:rPr>
          <w:rFonts w:ascii="Calibri" w:hAnsi="Calibri"/>
          <w:color w:val="1F2937"/>
          <w:sz w:val="22"/>
        </w:rPr>
        <w:t>Payload changes follow an approved versioning policy.</w:t>
      </w:r>
    </w:p>
    <w:p>
      <w:pPr>
        <w:pStyle w:val="ListBullet"/>
      </w:pPr>
      <w:r>
        <w:rPr>
          <w:rFonts w:ascii="Calibri" w:hAnsi="Calibri"/>
          <w:color w:val="1F2937"/>
          <w:sz w:val="22"/>
        </w:rPr>
        <w:t>Tests cover duplicate retry, locks, partial completion, authorisation and negative business cases.</w:t>
      </w:r>
    </w:p>
    <w:p>
      <w:r>
        <w:br w:type="page"/>
      </w:r>
    </w:p>
    <w:p>
      <w:pPr>
        <w:pStyle w:val="Heading1"/>
      </w:pPr>
      <w:r>
        <w:rPr>
          <w:rFonts w:ascii="Calibri" w:hAnsi="Calibri"/>
          <w:color w:val="2E74B5"/>
          <w:sz w:val="32"/>
        </w:rPr>
        <w:t>Appendix B - Document-control notes</w:t>
      </w:r>
    </w:p>
    <w:p>
      <w:pPr>
        <w:widowControl/>
      </w:pPr>
      <w:r>
        <w:rPr>
          <w:rFonts w:ascii="Calibri" w:hAnsi="Calibri"/>
          <w:color w:val="1F2937"/>
          <w:sz w:val="22"/>
        </w:rPr>
        <w:t xml:space="preserve">This v2.0 reconstruction replaces the missing local pre-development documentation files only as a consolidated working artifact. It does not replace the five supplied source artifacts, the meeting record, the interface register or the technical dossier. The Markdown proposal's internal references to an eight-sheet </w:t>
      </w:r>
      <w:r>
        <w:rPr>
          <w:rFonts w:ascii="Consolas" w:hAnsi="Consolas"/>
          <w:color w:val="1F4D78"/>
          <w:sz w:val="20"/>
        </w:rPr>
        <w:t>CNF_API_Register.xlsx</w:t>
      </w:r>
      <w:r>
        <w:rPr>
          <w:rFonts w:ascii="Calibri" w:hAnsi="Calibri"/>
          <w:color w:val="1F2937"/>
          <w:sz w:val="22"/>
        </w:rPr>
        <w:t xml:space="preserve"> and a 25-item validation register are recorded as metadata drift; the delivered planning workbook's 29-item register is used here.</w:t>
      </w:r>
    </w:p>
    <w:p>
      <w:pPr>
        <w:widowControl/>
      </w:pPr>
      <w:r>
        <w:rPr>
          <w:rFonts w:ascii="Calibri" w:hAnsi="Calibri"/>
          <w:color w:val="1F2937"/>
          <w:sz w:val="22"/>
        </w:rPr>
        <w:t>Approval is required before any SAP build, configuration, transport, external statutory call or production-facing action.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7"/>
      </w:rPr>
      <w:t xml:space="preserve">CNF-SAP-API-DOC-002 v2.0  |  </w:t>
    </w:r>
    <w:r>
      <w:rPr>
        <w:rFonts w:ascii="Calibri" w:hAnsi="Calibri"/>
        <w:color w:val="667085"/>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7085"/>
        <w:sz w:val="17"/>
      </w:rPr>
      <w:t>Shree Cement C&amp;F Agent Interface | SAP API Pre-DEV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F293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Calibri" w:hAnsi="Calibri"/>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Shree Cement C&amp;F Agent Interface - SAP API Documentation and Pre-Development Proposal</dc:title>
  <dc:subject>Consolidated pre-development SAP API documentation</dc:subject>
  <dc:creator>SAP backend integration workstream</dc:creator>
  <cp:keywords>Shree Cement, C&amp;F, SAP, API, S/4HANA, Integration Suite, pre-development</cp:keywords>
  <dc:description>Working proposal. SAP development access pending.</dc:description>
  <cp:lastModifiedBy/>
  <cp:revision>1</cp:revision>
  <dcterms:created xsi:type="dcterms:W3CDTF">2013-12-23T23:15:00Z</dcterms:created>
  <dcterms:modified xsi:type="dcterms:W3CDTF">2013-12-23T23:15:00Z</dcterms:modified>
  <cp:category/>
</cp:coreProperties>
</file>