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3523" w14:textId="77777777" w:rsidR="00FA6D36" w:rsidRPr="00A835CE" w:rsidRDefault="00FA6D36">
      <w:pPr>
        <w:pStyle w:val="Heading1"/>
        <w:spacing w:before="0" w:beforeAutospacing="0" w:after="40" w:afterAutospacing="0" w:line="259" w:lineRule="auto"/>
        <w:rPr>
          <w:rFonts w:ascii="Calibri" w:eastAsia="Times New Roman" w:hAnsi="Calibri" w:cs="Calibri"/>
          <w:color w:val="1F3A5F"/>
          <w:sz w:val="36"/>
          <w:szCs w:val="36"/>
        </w:rPr>
      </w:pPr>
      <w:r w:rsidRPr="00A835CE">
        <w:rPr>
          <w:rFonts w:ascii="Calibri" w:eastAsia="Times New Roman" w:hAnsi="Calibri" w:cs="Calibri"/>
          <w:color w:val="1F3A5F"/>
          <w:sz w:val="36"/>
          <w:szCs w:val="36"/>
        </w:rPr>
        <w:t>Excelligent at Shree Cement — Engagement Summary</w:t>
      </w:r>
    </w:p>
    <w:p w14:paraId="46D26578" w14:textId="77777777" w:rsidR="00FA6D36" w:rsidRPr="00A835CE" w:rsidRDefault="00FA6D36">
      <w:pPr>
        <w:pStyle w:val="sub"/>
        <w:spacing w:line="259" w:lineRule="auto"/>
        <w:rPr>
          <w:rFonts w:ascii="Calibri" w:hAnsi="Calibri" w:cs="Calibri"/>
        </w:rPr>
      </w:pPr>
      <w:r w:rsidRPr="00A835CE">
        <w:rPr>
          <w:rFonts w:ascii="Calibri" w:hAnsi="Calibri" w:cs="Calibri"/>
        </w:rPr>
        <w:t>C&amp;F Agent Operations Portal programme  |  Prepared by Siddharth, September 2026</w:t>
      </w:r>
    </w:p>
    <w:p w14:paraId="108B79D9" w14:textId="77777777" w:rsidR="00FA6D36" w:rsidRPr="00A835CE" w:rsidRDefault="00FA6D36">
      <w:pPr>
        <w:pStyle w:val="Heading2"/>
        <w:spacing w:line="259" w:lineRule="auto"/>
        <w:rPr>
          <w:rFonts w:ascii="Calibri" w:eastAsia="Times New Roman" w:hAnsi="Calibri" w:cs="Calibri"/>
        </w:rPr>
      </w:pPr>
      <w:r w:rsidRPr="00A835CE">
        <w:rPr>
          <w:rFonts w:ascii="Calibri" w:eastAsia="Times New Roman" w:hAnsi="Calibri" w:cs="Calibri"/>
        </w:rPr>
        <w:t>1. Nature of the engagement</w:t>
      </w:r>
    </w:p>
    <w:p w14:paraId="51CE37B9" w14:textId="77777777" w:rsidR="00FA6D36" w:rsidRPr="00A835CE" w:rsidRDefault="00FA6D36">
      <w:pPr>
        <w:pStyle w:val="NormalWeb"/>
        <w:spacing w:line="259" w:lineRule="auto"/>
        <w:rPr>
          <w:rFonts w:ascii="Calibri" w:hAnsi="Calibri" w:cs="Calibri"/>
          <w:sz w:val="20"/>
          <w:szCs w:val="20"/>
        </w:rPr>
      </w:pPr>
      <w:r w:rsidRPr="00A835CE">
        <w:rPr>
          <w:rFonts w:ascii="Calibri" w:hAnsi="Calibri" w:cs="Calibri"/>
          <w:sz w:val="20"/>
          <w:szCs w:val="20"/>
        </w:rPr>
        <w:t xml:space="preserve">Shree Cement moves most of its cement through a network of </w:t>
      </w:r>
      <w:r w:rsidRPr="00A835CE">
        <w:rPr>
          <w:rFonts w:ascii="Calibri" w:hAnsi="Calibri" w:cs="Calibri"/>
          <w:b/>
          <w:bCs/>
          <w:sz w:val="20"/>
          <w:szCs w:val="20"/>
        </w:rPr>
        <w:t>C&amp;F (Carrying &amp; Forwarding) agents and depots</w:t>
      </w:r>
      <w:r w:rsidRPr="00A835CE">
        <w:rPr>
          <w:rFonts w:ascii="Calibri" w:hAnsi="Calibri" w:cs="Calibri"/>
          <w:sz w:val="20"/>
          <w:szCs w:val="20"/>
        </w:rPr>
        <w:t>. These agents receive stock from plants, hold it, and dispatch it to trade and non-trade customers. Today this work runs through SAP screens, custom reports and manual follow-up.</w:t>
      </w:r>
    </w:p>
    <w:p w14:paraId="6F3C8F64" w14:textId="77777777" w:rsidR="00FA6D36" w:rsidRPr="00A835CE" w:rsidRDefault="00FA6D36">
      <w:pPr>
        <w:pStyle w:val="NormalWeb"/>
        <w:spacing w:line="259" w:lineRule="auto"/>
        <w:rPr>
          <w:rFonts w:ascii="Calibri" w:hAnsi="Calibri" w:cs="Calibri"/>
          <w:sz w:val="20"/>
          <w:szCs w:val="20"/>
        </w:rPr>
      </w:pPr>
      <w:r w:rsidRPr="00A835CE">
        <w:rPr>
          <w:rFonts w:ascii="Calibri" w:hAnsi="Calibri" w:cs="Calibri"/>
          <w:sz w:val="20"/>
          <w:szCs w:val="20"/>
        </w:rPr>
        <w:t xml:space="preserve">Shree Cement is building a </w:t>
      </w:r>
      <w:r w:rsidRPr="00A835CE">
        <w:rPr>
          <w:rFonts w:ascii="Calibri" w:hAnsi="Calibri" w:cs="Calibri"/>
          <w:b/>
          <w:bCs/>
          <w:sz w:val="20"/>
          <w:szCs w:val="20"/>
        </w:rPr>
        <w:t>C&amp;F Agent Operations Portal</w:t>
      </w:r>
      <w:r w:rsidRPr="00A835CE">
        <w:rPr>
          <w:rFonts w:ascii="Calibri" w:hAnsi="Calibri" w:cs="Calibri"/>
          <w:sz w:val="20"/>
          <w:szCs w:val="20"/>
        </w:rPr>
        <w:t xml:space="preserve">: one web application where depot users receive stock, create dispatches, generate invoices and statutory documents (e-Invoice, E-Way Bill), and track the status of each document. </w:t>
      </w:r>
      <w:r w:rsidRPr="00A835CE">
        <w:rPr>
          <w:rFonts w:ascii="Calibri" w:hAnsi="Calibri" w:cs="Calibri"/>
          <w:b/>
          <w:bCs/>
          <w:sz w:val="20"/>
          <w:szCs w:val="20"/>
        </w:rPr>
        <w:t>HyvX</w:t>
      </w:r>
      <w:r w:rsidRPr="00A835CE">
        <w:rPr>
          <w:rFonts w:ascii="Calibri" w:hAnsi="Calibri" w:cs="Calibri"/>
          <w:sz w:val="20"/>
          <w:szCs w:val="20"/>
        </w:rPr>
        <w:t xml:space="preserve"> leads the implementation and runs the delivery team.</w:t>
      </w:r>
    </w:p>
    <w:p w14:paraId="0155F1B5" w14:textId="77777777" w:rsidR="00FA6D36" w:rsidRPr="00A835CE" w:rsidRDefault="00FA6D36">
      <w:pPr>
        <w:pStyle w:val="NormalWeb"/>
        <w:spacing w:line="259" w:lineRule="auto"/>
        <w:rPr>
          <w:rFonts w:ascii="Calibri" w:hAnsi="Calibri" w:cs="Calibri"/>
          <w:sz w:val="20"/>
          <w:szCs w:val="20"/>
        </w:rPr>
      </w:pPr>
      <w:r w:rsidRPr="00A835CE">
        <w:rPr>
          <w:rFonts w:ascii="Calibri" w:hAnsi="Calibri" w:cs="Calibri"/>
          <w:b/>
          <w:bCs/>
          <w:sz w:val="20"/>
          <w:szCs w:val="20"/>
        </w:rPr>
        <w:t>Excelligent provides two SAP consultants to HyvX</w:t>
      </w:r>
      <w:r w:rsidRPr="00A835CE">
        <w:rPr>
          <w:rFonts w:ascii="Calibri" w:hAnsi="Calibri" w:cs="Calibri"/>
          <w:sz w:val="20"/>
          <w:szCs w:val="20"/>
        </w:rPr>
        <w:t xml:space="preserve">, who work as part of HyvX's team: an </w:t>
      </w:r>
      <w:r w:rsidRPr="00A835CE">
        <w:rPr>
          <w:rFonts w:ascii="Calibri" w:hAnsi="Calibri" w:cs="Calibri"/>
          <w:b/>
          <w:bCs/>
          <w:sz w:val="20"/>
          <w:szCs w:val="20"/>
        </w:rPr>
        <w:t>SAP ABAP consultant</w:t>
      </w:r>
      <w:r w:rsidRPr="00A835CE">
        <w:rPr>
          <w:rFonts w:ascii="Calibri" w:hAnsi="Calibri" w:cs="Calibri"/>
          <w:sz w:val="20"/>
          <w:szCs w:val="20"/>
        </w:rPr>
        <w:t xml:space="preserve"> (Siddharth) and an </w:t>
      </w:r>
      <w:r w:rsidRPr="00A835CE">
        <w:rPr>
          <w:rFonts w:ascii="Calibri" w:hAnsi="Calibri" w:cs="Calibri"/>
          <w:b/>
          <w:bCs/>
          <w:sz w:val="20"/>
          <w:szCs w:val="20"/>
        </w:rPr>
        <w:t>SAP SD consultant</w:t>
      </w:r>
      <w:r w:rsidRPr="00A835CE">
        <w:rPr>
          <w:rFonts w:ascii="Calibri" w:hAnsi="Calibri" w:cs="Calibri"/>
          <w:sz w:val="20"/>
          <w:szCs w:val="20"/>
        </w:rPr>
        <w:t xml:space="preserve"> (Karan Kakkar). Their job is to make sure every portal action creates the right document in SAP S/4HANA, with the same checks and controls Shree Cement relies on when the work is done directly in SAP.</w:t>
      </w:r>
    </w:p>
    <w:p w14:paraId="59266254" w14:textId="77777777" w:rsidR="00FA6D36" w:rsidRPr="00A835CE" w:rsidRDefault="00FA6D36">
      <w:pPr>
        <w:pStyle w:val="Heading2"/>
        <w:spacing w:line="259" w:lineRule="auto"/>
        <w:rPr>
          <w:rFonts w:ascii="Calibri" w:eastAsia="Times New Roman" w:hAnsi="Calibri" w:cs="Calibri"/>
        </w:rPr>
      </w:pPr>
      <w:r w:rsidRPr="00A835CE">
        <w:rPr>
          <w:rFonts w:ascii="Calibri" w:eastAsia="Times New Roman" w:hAnsi="Calibri" w:cs="Calibri"/>
        </w:rPr>
        <w:t>2. SAP modules and technology areas</w:t>
      </w:r>
    </w:p>
    <w:p w14:paraId="3097057D" w14:textId="77777777" w:rsidR="00FA6D36" w:rsidRPr="00A835CE" w:rsidRDefault="00FA6D36">
      <w:pPr>
        <w:pStyle w:val="NormalWeb"/>
        <w:spacing w:line="259" w:lineRule="auto"/>
        <w:rPr>
          <w:rFonts w:ascii="Calibri" w:hAnsi="Calibri" w:cs="Calibri"/>
          <w:sz w:val="20"/>
          <w:szCs w:val="20"/>
        </w:rPr>
      </w:pPr>
      <w:r w:rsidRPr="00A835CE">
        <w:rPr>
          <w:rFonts w:ascii="Calibri" w:hAnsi="Calibri" w:cs="Calibri"/>
          <w:b/>
          <w:bCs/>
          <w:sz w:val="20"/>
          <w:szCs w:val="20"/>
        </w:rPr>
        <w:t>Where Excelligent's consultants work directly:</w:t>
      </w:r>
    </w:p>
    <w:p w14:paraId="2CBA4A9A" w14:textId="77777777" w:rsidR="00FA6D36" w:rsidRPr="00A835CE" w:rsidRDefault="00FA6D36">
      <w:pPr>
        <w:numPr>
          <w:ilvl w:val="0"/>
          <w:numId w:val="1"/>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SAP MM and Inventory Management:</w:t>
      </w:r>
      <w:r w:rsidRPr="00A835CE">
        <w:rPr>
          <w:rFonts w:ascii="Calibri" w:eastAsia="Times New Roman" w:hAnsi="Calibri" w:cs="Calibri"/>
          <w:sz w:val="20"/>
          <w:szCs w:val="20"/>
        </w:rPr>
        <w:t xml:space="preserve"> goods receipt, stock visibility and stock transfer processes.</w:t>
      </w:r>
    </w:p>
    <w:p w14:paraId="01CCC6A6" w14:textId="77777777" w:rsidR="00FA6D36" w:rsidRPr="00A835CE" w:rsidRDefault="00FA6D36">
      <w:pPr>
        <w:numPr>
          <w:ilvl w:val="0"/>
          <w:numId w:val="1"/>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SAP SD and Logistics Execution:</w:t>
      </w:r>
      <w:r w:rsidRPr="00A835CE">
        <w:rPr>
          <w:rFonts w:ascii="Calibri" w:eastAsia="Times New Roman" w:hAnsi="Calibri" w:cs="Calibri"/>
          <w:sz w:val="20"/>
          <w:szCs w:val="20"/>
        </w:rPr>
        <w:t xml:space="preserve"> delivery creation, shipment readiness, post goods issue (PGI) and billing.</w:t>
      </w:r>
    </w:p>
    <w:p w14:paraId="27ED7379" w14:textId="77777777" w:rsidR="00FA6D36" w:rsidRPr="00A835CE" w:rsidRDefault="00FA6D36">
      <w:pPr>
        <w:numPr>
          <w:ilvl w:val="0"/>
          <w:numId w:val="1"/>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ABAP development and enhancement frameworks:</w:t>
      </w:r>
      <w:r w:rsidRPr="00A835CE">
        <w:rPr>
          <w:rFonts w:ascii="Calibri" w:eastAsia="Times New Roman" w:hAnsi="Calibri" w:cs="Calibri"/>
          <w:sz w:val="20"/>
          <w:szCs w:val="20"/>
        </w:rPr>
        <w:t xml:space="preserve"> BAPIs, BAdIs, exits, CDS-based logic and existing custom programs.</w:t>
      </w:r>
    </w:p>
    <w:p w14:paraId="5B73A008" w14:textId="77777777" w:rsidR="00FA6D36" w:rsidRPr="00A835CE" w:rsidRDefault="00FA6D36">
      <w:pPr>
        <w:numPr>
          <w:ilvl w:val="0"/>
          <w:numId w:val="1"/>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SAP Gateway and OData APIs:</w:t>
      </w:r>
      <w:r w:rsidRPr="00A835CE">
        <w:rPr>
          <w:rFonts w:ascii="Calibri" w:eastAsia="Times New Roman" w:hAnsi="Calibri" w:cs="Calibri"/>
          <w:sz w:val="20"/>
          <w:szCs w:val="20"/>
        </w:rPr>
        <w:t xml:space="preserve"> secure, system-to-system execution of SAP transactions.</w:t>
      </w:r>
    </w:p>
    <w:p w14:paraId="7DCF30CA" w14:textId="77777777" w:rsidR="00FA6D36" w:rsidRPr="00A835CE" w:rsidRDefault="00FA6D36">
      <w:pPr>
        <w:numPr>
          <w:ilvl w:val="0"/>
          <w:numId w:val="1"/>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SAP eDocument with DigiGST/EY:</w:t>
      </w:r>
      <w:r w:rsidRPr="00A835CE">
        <w:rPr>
          <w:rFonts w:ascii="Calibri" w:eastAsia="Times New Roman" w:hAnsi="Calibri" w:cs="Calibri"/>
          <w:sz w:val="20"/>
          <w:szCs w:val="20"/>
        </w:rPr>
        <w:t xml:space="preserve"> the SAP side of e-Invoice and E-Way Bill processes.</w:t>
      </w:r>
    </w:p>
    <w:p w14:paraId="108FA614" w14:textId="77777777" w:rsidR="00FA6D36" w:rsidRPr="00A835CE" w:rsidRDefault="00FA6D36">
      <w:pPr>
        <w:pStyle w:val="NormalWeb"/>
        <w:spacing w:line="259" w:lineRule="auto"/>
        <w:rPr>
          <w:rFonts w:ascii="Calibri" w:hAnsi="Calibri" w:cs="Calibri"/>
          <w:sz w:val="20"/>
          <w:szCs w:val="20"/>
        </w:rPr>
      </w:pPr>
      <w:r w:rsidRPr="00A835CE">
        <w:rPr>
          <w:rFonts w:ascii="Calibri" w:hAnsi="Calibri" w:cs="Calibri"/>
          <w:b/>
          <w:bCs/>
          <w:sz w:val="20"/>
          <w:szCs w:val="20"/>
        </w:rPr>
        <w:t>Where they work with other teams:</w:t>
      </w:r>
      <w:r w:rsidRPr="00A835CE">
        <w:rPr>
          <w:rFonts w:ascii="Calibri" w:hAnsi="Calibri" w:cs="Calibri"/>
          <w:sz w:val="20"/>
          <w:szCs w:val="20"/>
        </w:rPr>
        <w:t xml:space="preserve"> SAP Integration Suite/CPI (message routing and error handling), SAP Commerce Cloud/Hybris (the portal and its read models), and SAP Datasphere (pending receipts, stock ageing and reference data, handled by a separate team).</w:t>
      </w:r>
    </w:p>
    <w:p w14:paraId="71E307EF" w14:textId="77777777" w:rsidR="00FA6D36" w:rsidRPr="00A835CE" w:rsidRDefault="00FA6D36">
      <w:pPr>
        <w:pStyle w:val="Heading2"/>
        <w:spacing w:line="259" w:lineRule="auto"/>
        <w:rPr>
          <w:rFonts w:ascii="Calibri" w:eastAsia="Times New Roman" w:hAnsi="Calibri" w:cs="Calibri"/>
        </w:rPr>
      </w:pPr>
      <w:r w:rsidRPr="00A835CE">
        <w:rPr>
          <w:rFonts w:ascii="Calibri" w:eastAsia="Times New Roman" w:hAnsi="Calibri" w:cs="Calibri"/>
        </w:rPr>
        <w:t>3. Business processes covered</w:t>
      </w:r>
    </w:p>
    <w:p w14:paraId="2DB43E48" w14:textId="77777777" w:rsidR="00FA6D36" w:rsidRPr="00A835CE" w:rsidRDefault="00FA6D36">
      <w:pPr>
        <w:numPr>
          <w:ilvl w:val="0"/>
          <w:numId w:val="2"/>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Inbound receipt:</w:t>
      </w:r>
      <w:r w:rsidRPr="00A835CE">
        <w:rPr>
          <w:rFonts w:ascii="Calibri" w:eastAsia="Times New Roman" w:hAnsi="Calibri" w:cs="Calibri"/>
          <w:sz w:val="20"/>
          <w:szCs w:val="20"/>
        </w:rPr>
        <w:t xml:space="preserve"> stock sent from a plant or another depot appears as a pending receipt. The depot confirms the quantity received and a goods receipt (MIGO) is posted in SAP.</w:t>
      </w:r>
    </w:p>
    <w:p w14:paraId="76C61DB4" w14:textId="77777777" w:rsidR="00FA6D36" w:rsidRPr="00A835CE" w:rsidRDefault="00FA6D36">
      <w:pPr>
        <w:numPr>
          <w:ilvl w:val="0"/>
          <w:numId w:val="2"/>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Outbound fulfilment:</w:t>
      </w:r>
      <w:r w:rsidRPr="00A835CE">
        <w:rPr>
          <w:rFonts w:ascii="Calibri" w:eastAsia="Times New Roman" w:hAnsi="Calibri" w:cs="Calibri"/>
          <w:sz w:val="20"/>
          <w:szCs w:val="20"/>
        </w:rPr>
        <w:t xml:space="preserve"> a sales order or stock transfer order becomes a </w:t>
      </w:r>
      <w:r w:rsidRPr="00A835CE">
        <w:rPr>
          <w:rFonts w:ascii="Calibri" w:eastAsia="Times New Roman" w:hAnsi="Calibri" w:cs="Calibri"/>
          <w:b/>
          <w:bCs/>
          <w:sz w:val="20"/>
          <w:szCs w:val="20"/>
        </w:rPr>
        <w:t>Delivery Instruction (DI)</w:t>
      </w:r>
      <w:r w:rsidRPr="00A835CE">
        <w:rPr>
          <w:rFonts w:ascii="Calibri" w:eastAsia="Times New Roman" w:hAnsi="Calibri" w:cs="Calibri"/>
          <w:sz w:val="20"/>
          <w:szCs w:val="20"/>
        </w:rPr>
        <w:t>. The depot assigns batches, transporter, vehicle and freight, then the process moves through PGI, invoice, e-Invoice and E-Way Bill.</w:t>
      </w:r>
    </w:p>
    <w:p w14:paraId="296E8285" w14:textId="77777777" w:rsidR="00FA6D36" w:rsidRPr="00A835CE" w:rsidRDefault="00FA6D36">
      <w:pPr>
        <w:pStyle w:val="NormalWeb"/>
        <w:spacing w:line="259" w:lineRule="auto"/>
        <w:rPr>
          <w:rFonts w:ascii="Calibri" w:hAnsi="Calibri" w:cs="Calibri"/>
          <w:sz w:val="20"/>
          <w:szCs w:val="20"/>
        </w:rPr>
      </w:pPr>
      <w:r w:rsidRPr="00A835CE">
        <w:rPr>
          <w:rFonts w:ascii="Calibri" w:hAnsi="Calibri" w:cs="Calibri"/>
          <w:sz w:val="20"/>
          <w:szCs w:val="20"/>
        </w:rPr>
        <w:t>Related areas: stock and batch availability, stock transfer orders, invoice correction, E-Way Bill extension, document-flow status and reports.</w:t>
      </w:r>
    </w:p>
    <w:p w14:paraId="0F91F32C" w14:textId="77777777" w:rsidR="00FA6D36" w:rsidRPr="00A835CE" w:rsidRDefault="00FA6D36">
      <w:pPr>
        <w:pStyle w:val="Heading2"/>
        <w:spacing w:line="259" w:lineRule="auto"/>
        <w:rPr>
          <w:rFonts w:ascii="Calibri" w:eastAsia="Times New Roman" w:hAnsi="Calibri" w:cs="Calibri"/>
        </w:rPr>
      </w:pPr>
      <w:r w:rsidRPr="00A835CE">
        <w:rPr>
          <w:rFonts w:ascii="Calibri" w:eastAsia="Times New Roman" w:hAnsi="Calibri" w:cs="Calibri"/>
        </w:rPr>
        <w:t>4. Type of engagement and activities</w:t>
      </w:r>
    </w:p>
    <w:p w14:paraId="6D2AA411" w14:textId="77777777" w:rsidR="00FA6D36" w:rsidRPr="00A835CE" w:rsidRDefault="00FA6D36">
      <w:pPr>
        <w:pStyle w:val="NormalWeb"/>
        <w:spacing w:line="259" w:lineRule="auto"/>
        <w:rPr>
          <w:rFonts w:ascii="Calibri" w:hAnsi="Calibri" w:cs="Calibri"/>
          <w:sz w:val="20"/>
          <w:szCs w:val="20"/>
        </w:rPr>
      </w:pPr>
      <w:r w:rsidRPr="00A835CE">
        <w:rPr>
          <w:rFonts w:ascii="Calibri" w:hAnsi="Calibri" w:cs="Calibri"/>
          <w:sz w:val="20"/>
          <w:szCs w:val="20"/>
        </w:rPr>
        <w:t xml:space="preserve">This is </w:t>
      </w:r>
      <w:r w:rsidRPr="00A835CE">
        <w:rPr>
          <w:rFonts w:ascii="Calibri" w:hAnsi="Calibri" w:cs="Calibri"/>
          <w:b/>
          <w:bCs/>
          <w:sz w:val="20"/>
          <w:szCs w:val="20"/>
        </w:rPr>
        <w:t>project-based implementation work</w:t>
      </w:r>
      <w:r w:rsidRPr="00A835CE">
        <w:rPr>
          <w:rFonts w:ascii="Calibri" w:hAnsi="Calibri" w:cs="Calibri"/>
          <w:sz w:val="20"/>
          <w:szCs w:val="20"/>
        </w:rPr>
        <w:t>, delivered as consultants deployed into HyvX's team. Excelligent does not provide AMS or support services at Shree Cement.</w:t>
      </w:r>
    </w:p>
    <w:p w14:paraId="17E50C26" w14:textId="77777777" w:rsidR="00FA6D36" w:rsidRPr="00A835CE" w:rsidRDefault="00FA6D36">
      <w:pPr>
        <w:numPr>
          <w:ilvl w:val="0"/>
          <w:numId w:val="3"/>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SAP ABAP consultant:</w:t>
      </w:r>
      <w:r w:rsidRPr="00A835CE">
        <w:rPr>
          <w:rFonts w:ascii="Calibri" w:eastAsia="Times New Roman" w:hAnsi="Calibri" w:cs="Calibri"/>
          <w:sz w:val="20"/>
          <w:szCs w:val="20"/>
        </w:rPr>
        <w:t xml:space="preserve"> decides for each portal action whether a standard SAP API, a standard API with a supported enhancement, or a custom service is right; builds ABAP classes, BAdI implementations and OData services; defines request, response and error formats for the CPI and portal teams; analyses Shree Cement's existing custom code so its rules are kept; and tests each interface against real QA data until the SAP document is proven correct.</w:t>
      </w:r>
    </w:p>
    <w:p w14:paraId="490FDDE7" w14:textId="77777777" w:rsidR="00FA6D36" w:rsidRPr="00A835CE" w:rsidRDefault="00FA6D36">
      <w:pPr>
        <w:numPr>
          <w:ilvl w:val="0"/>
          <w:numId w:val="3"/>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SAP SD consultant:</w:t>
      </w:r>
      <w:r w:rsidRPr="00A835CE">
        <w:rPr>
          <w:rFonts w:ascii="Calibri" w:eastAsia="Times New Roman" w:hAnsi="Calibri" w:cs="Calibri"/>
          <w:sz w:val="20"/>
          <w:szCs w:val="20"/>
        </w:rPr>
        <w:t xml:space="preserve"> designs the SD and logistics process for delivery, shipment, PGI and billing; confirms document types, code meanings and SAP settings for trade, non-trade and stock transfer scenarios; prepares test scenarios and data; and aligns the design with Shree Cement's functional owners.</w:t>
      </w:r>
    </w:p>
    <w:p w14:paraId="00C0C76E" w14:textId="77777777" w:rsidR="00FA6D36" w:rsidRPr="00A835CE" w:rsidRDefault="00FA6D36" w:rsidP="008C233C">
      <w:pPr>
        <w:pStyle w:val="Heading2"/>
        <w:keepNext/>
        <w:spacing w:line="259" w:lineRule="auto"/>
        <w:rPr>
          <w:rFonts w:ascii="Calibri" w:eastAsia="Times New Roman" w:hAnsi="Calibri" w:cs="Calibri"/>
        </w:rPr>
      </w:pPr>
      <w:r w:rsidRPr="00A835CE">
        <w:rPr>
          <w:rFonts w:ascii="Calibri" w:eastAsia="Times New Roman" w:hAnsi="Calibri" w:cs="Calibri"/>
        </w:rPr>
        <w:lastRenderedPageBreak/>
        <w:t>5. Team composition</w:t>
      </w:r>
    </w:p>
    <w:p w14:paraId="7EAF78A3" w14:textId="77777777" w:rsidR="00FA6D36" w:rsidRPr="00A835CE" w:rsidRDefault="00FA6D36" w:rsidP="008C233C">
      <w:pPr>
        <w:pStyle w:val="NormalWeb"/>
        <w:keepNext/>
        <w:spacing w:line="259" w:lineRule="auto"/>
        <w:rPr>
          <w:rFonts w:ascii="Calibri" w:hAnsi="Calibri" w:cs="Calibri"/>
          <w:sz w:val="20"/>
          <w:szCs w:val="20"/>
        </w:rPr>
      </w:pPr>
      <w:r w:rsidRPr="00A835CE">
        <w:rPr>
          <w:rFonts w:ascii="Calibri" w:hAnsi="Calibri" w:cs="Calibri"/>
          <w:sz w:val="20"/>
          <w:szCs w:val="20"/>
        </w:rPr>
        <w:t>HyvX's programme team is roughly 15–20 people. Excelligent provides two of them.</w:t>
      </w:r>
    </w:p>
    <w:tbl>
      <w:tblPr>
        <w:tblW w:w="0" w:type="auto"/>
        <w:tblCellMar>
          <w:top w:w="15" w:type="dxa"/>
          <w:left w:w="15" w:type="dxa"/>
          <w:bottom w:w="15" w:type="dxa"/>
          <w:right w:w="15" w:type="dxa"/>
        </w:tblCellMar>
        <w:tblLook w:val="04A0" w:firstRow="1" w:lastRow="0" w:firstColumn="1" w:lastColumn="0" w:noHBand="0" w:noVBand="1"/>
      </w:tblPr>
      <w:tblGrid>
        <w:gridCol w:w="4253"/>
        <w:gridCol w:w="1418"/>
        <w:gridCol w:w="3969"/>
      </w:tblGrid>
      <w:tr w:rsidR="00E8340A" w:rsidRPr="00A835CE" w14:paraId="6521D671" w14:textId="77777777" w:rsidTr="008C233C">
        <w:trPr>
          <w:cantSplit/>
        </w:trPr>
        <w:tc>
          <w:tcPr>
            <w:tcW w:w="4253" w:type="dxa"/>
            <w:tcBorders>
              <w:top w:val="single" w:sz="6" w:space="0" w:color="A6A6A6"/>
              <w:left w:val="single" w:sz="6" w:space="0" w:color="A6A6A6"/>
              <w:bottom w:val="single" w:sz="6" w:space="0" w:color="A6A6A6"/>
              <w:right w:val="single" w:sz="6" w:space="0" w:color="A6A6A6"/>
            </w:tcBorders>
            <w:shd w:val="clear" w:color="auto" w:fill="1F3A5F"/>
            <w:tcMar>
              <w:top w:w="0" w:type="dxa"/>
              <w:left w:w="100" w:type="dxa"/>
              <w:bottom w:w="0" w:type="dxa"/>
              <w:right w:w="100" w:type="dxa"/>
            </w:tcMar>
            <w:vAlign w:val="center"/>
            <w:hideMark/>
          </w:tcPr>
          <w:p w14:paraId="2CB3EF77" w14:textId="77777777" w:rsidR="00FA6D36" w:rsidRPr="00A835CE" w:rsidRDefault="00FA6D36" w:rsidP="008C233C">
            <w:pPr>
              <w:keepNext/>
              <w:rPr>
                <w:rFonts w:ascii="Calibri" w:eastAsia="Times New Roman" w:hAnsi="Calibri" w:cs="Calibri"/>
                <w:b/>
                <w:bCs/>
                <w:color w:val="FFFFFF"/>
                <w:sz w:val="19"/>
                <w:szCs w:val="19"/>
              </w:rPr>
            </w:pPr>
            <w:r w:rsidRPr="00A835CE">
              <w:rPr>
                <w:rFonts w:ascii="Calibri" w:eastAsia="Times New Roman" w:hAnsi="Calibri" w:cs="Calibri"/>
                <w:b/>
                <w:bCs/>
                <w:color w:val="FFFFFF"/>
                <w:sz w:val="19"/>
                <w:szCs w:val="19"/>
              </w:rPr>
              <w:t>Role</w:t>
            </w:r>
          </w:p>
        </w:tc>
        <w:tc>
          <w:tcPr>
            <w:tcW w:w="1418" w:type="dxa"/>
            <w:tcBorders>
              <w:top w:val="single" w:sz="6" w:space="0" w:color="A6A6A6"/>
              <w:left w:val="single" w:sz="6" w:space="0" w:color="A6A6A6"/>
              <w:bottom w:val="single" w:sz="6" w:space="0" w:color="A6A6A6"/>
              <w:right w:val="single" w:sz="6" w:space="0" w:color="A6A6A6"/>
            </w:tcBorders>
            <w:shd w:val="clear" w:color="auto" w:fill="1F3A5F"/>
            <w:tcMar>
              <w:top w:w="0" w:type="dxa"/>
              <w:left w:w="100" w:type="dxa"/>
              <w:bottom w:w="0" w:type="dxa"/>
              <w:right w:w="100" w:type="dxa"/>
            </w:tcMar>
            <w:vAlign w:val="center"/>
            <w:hideMark/>
          </w:tcPr>
          <w:p w14:paraId="0DF67CFA" w14:textId="77777777" w:rsidR="00FA6D36" w:rsidRPr="00A835CE" w:rsidRDefault="00FA6D36" w:rsidP="008C233C">
            <w:pPr>
              <w:keepNext/>
              <w:rPr>
                <w:rFonts w:ascii="Calibri" w:eastAsia="Times New Roman" w:hAnsi="Calibri" w:cs="Calibri"/>
                <w:b/>
                <w:bCs/>
                <w:color w:val="FFFFFF"/>
                <w:sz w:val="19"/>
                <w:szCs w:val="19"/>
              </w:rPr>
            </w:pPr>
            <w:r w:rsidRPr="00A835CE">
              <w:rPr>
                <w:rFonts w:ascii="Calibri" w:eastAsia="Times New Roman" w:hAnsi="Calibri" w:cs="Calibri"/>
                <w:b/>
                <w:bCs/>
                <w:color w:val="FFFFFF"/>
                <w:sz w:val="19"/>
                <w:szCs w:val="19"/>
              </w:rPr>
              <w:t>Count</w:t>
            </w:r>
          </w:p>
        </w:tc>
        <w:tc>
          <w:tcPr>
            <w:tcW w:w="3969" w:type="dxa"/>
            <w:tcBorders>
              <w:top w:val="single" w:sz="6" w:space="0" w:color="A6A6A6"/>
              <w:left w:val="single" w:sz="6" w:space="0" w:color="A6A6A6"/>
              <w:bottom w:val="single" w:sz="6" w:space="0" w:color="A6A6A6"/>
              <w:right w:val="single" w:sz="6" w:space="0" w:color="A6A6A6"/>
            </w:tcBorders>
            <w:shd w:val="clear" w:color="auto" w:fill="1F3A5F"/>
            <w:tcMar>
              <w:top w:w="0" w:type="dxa"/>
              <w:left w:w="100" w:type="dxa"/>
              <w:bottom w:w="0" w:type="dxa"/>
              <w:right w:w="100" w:type="dxa"/>
            </w:tcMar>
            <w:vAlign w:val="center"/>
            <w:hideMark/>
          </w:tcPr>
          <w:p w14:paraId="44254701" w14:textId="77777777" w:rsidR="00FA6D36" w:rsidRPr="00A835CE" w:rsidRDefault="00FA6D36" w:rsidP="008C233C">
            <w:pPr>
              <w:keepNext/>
              <w:rPr>
                <w:rFonts w:ascii="Calibri" w:eastAsia="Times New Roman" w:hAnsi="Calibri" w:cs="Calibri"/>
                <w:b/>
                <w:bCs/>
                <w:color w:val="FFFFFF"/>
                <w:sz w:val="19"/>
                <w:szCs w:val="19"/>
              </w:rPr>
            </w:pPr>
            <w:r w:rsidRPr="00A835CE">
              <w:rPr>
                <w:rFonts w:ascii="Calibri" w:eastAsia="Times New Roman" w:hAnsi="Calibri" w:cs="Calibri"/>
                <w:b/>
                <w:bCs/>
                <w:color w:val="FFFFFF"/>
                <w:sz w:val="19"/>
                <w:szCs w:val="19"/>
              </w:rPr>
              <w:t>Provided by</w:t>
            </w:r>
          </w:p>
        </w:tc>
      </w:tr>
      <w:tr w:rsidR="00E8340A" w:rsidRPr="00A835CE" w14:paraId="0C6B51A7" w14:textId="77777777" w:rsidTr="008C233C">
        <w:trPr>
          <w:cantSplit/>
        </w:trPr>
        <w:tc>
          <w:tcPr>
            <w:tcW w:w="0" w:type="auto"/>
            <w:tcBorders>
              <w:top w:val="single" w:sz="6" w:space="0" w:color="A6A6A6"/>
              <w:left w:val="single" w:sz="6" w:space="0" w:color="A6A6A6"/>
              <w:bottom w:val="single" w:sz="6" w:space="0" w:color="A6A6A6"/>
              <w:right w:val="single" w:sz="6" w:space="0" w:color="A6A6A6"/>
            </w:tcBorders>
            <w:shd w:val="clear" w:color="auto" w:fill="E8EEF5"/>
            <w:tcMar>
              <w:top w:w="0" w:type="dxa"/>
              <w:left w:w="100" w:type="dxa"/>
              <w:bottom w:w="0" w:type="dxa"/>
              <w:right w:w="100" w:type="dxa"/>
            </w:tcMar>
            <w:vAlign w:val="center"/>
            <w:hideMark/>
          </w:tcPr>
          <w:p w14:paraId="5E2C8829"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SAP ABAP consultants</w:t>
            </w:r>
          </w:p>
        </w:tc>
        <w:tc>
          <w:tcPr>
            <w:tcW w:w="0" w:type="auto"/>
            <w:tcBorders>
              <w:top w:val="single" w:sz="6" w:space="0" w:color="A6A6A6"/>
              <w:left w:val="single" w:sz="6" w:space="0" w:color="A6A6A6"/>
              <w:bottom w:val="single" w:sz="6" w:space="0" w:color="A6A6A6"/>
              <w:right w:val="single" w:sz="6" w:space="0" w:color="A6A6A6"/>
            </w:tcBorders>
            <w:shd w:val="clear" w:color="auto" w:fill="E8EEF5"/>
            <w:tcMar>
              <w:top w:w="0" w:type="dxa"/>
              <w:left w:w="100" w:type="dxa"/>
              <w:bottom w:w="0" w:type="dxa"/>
              <w:right w:w="100" w:type="dxa"/>
            </w:tcMar>
            <w:vAlign w:val="center"/>
            <w:hideMark/>
          </w:tcPr>
          <w:p w14:paraId="6D70884D"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2</w:t>
            </w:r>
          </w:p>
        </w:tc>
        <w:tc>
          <w:tcPr>
            <w:tcW w:w="0" w:type="auto"/>
            <w:tcBorders>
              <w:top w:val="single" w:sz="6" w:space="0" w:color="A6A6A6"/>
              <w:left w:val="single" w:sz="6" w:space="0" w:color="A6A6A6"/>
              <w:bottom w:val="single" w:sz="6" w:space="0" w:color="A6A6A6"/>
              <w:right w:val="single" w:sz="6" w:space="0" w:color="A6A6A6"/>
            </w:tcBorders>
            <w:shd w:val="clear" w:color="auto" w:fill="E8EEF5"/>
            <w:tcMar>
              <w:top w:w="0" w:type="dxa"/>
              <w:left w:w="100" w:type="dxa"/>
              <w:bottom w:w="0" w:type="dxa"/>
              <w:right w:w="100" w:type="dxa"/>
            </w:tcMar>
            <w:vAlign w:val="center"/>
            <w:hideMark/>
          </w:tcPr>
          <w:p w14:paraId="1129D209"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b/>
                <w:bCs/>
                <w:sz w:val="19"/>
                <w:szCs w:val="19"/>
              </w:rPr>
              <w:t>Excelligent (1)</w:t>
            </w:r>
            <w:r w:rsidRPr="00A835CE">
              <w:rPr>
                <w:rFonts w:ascii="Calibri" w:eastAsia="Times New Roman" w:hAnsi="Calibri" w:cs="Calibri"/>
                <w:sz w:val="19"/>
                <w:szCs w:val="19"/>
              </w:rPr>
              <w:t>, HyvX (1)</w:t>
            </w:r>
          </w:p>
        </w:tc>
      </w:tr>
      <w:tr w:rsidR="00E8340A" w:rsidRPr="00A835CE" w14:paraId="5083C48A" w14:textId="77777777" w:rsidTr="008C233C">
        <w:trPr>
          <w:cantSplit/>
        </w:trPr>
        <w:tc>
          <w:tcPr>
            <w:tcW w:w="0" w:type="auto"/>
            <w:tcBorders>
              <w:top w:val="single" w:sz="6" w:space="0" w:color="A6A6A6"/>
              <w:left w:val="single" w:sz="6" w:space="0" w:color="A6A6A6"/>
              <w:bottom w:val="single" w:sz="6" w:space="0" w:color="A6A6A6"/>
              <w:right w:val="single" w:sz="6" w:space="0" w:color="A6A6A6"/>
            </w:tcBorders>
            <w:shd w:val="clear" w:color="auto" w:fill="E8EEF5"/>
            <w:tcMar>
              <w:top w:w="0" w:type="dxa"/>
              <w:left w:w="100" w:type="dxa"/>
              <w:bottom w:w="0" w:type="dxa"/>
              <w:right w:w="100" w:type="dxa"/>
            </w:tcMar>
            <w:vAlign w:val="center"/>
            <w:hideMark/>
          </w:tcPr>
          <w:p w14:paraId="0C2837DB"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SAP SD consultant</w:t>
            </w:r>
          </w:p>
        </w:tc>
        <w:tc>
          <w:tcPr>
            <w:tcW w:w="0" w:type="auto"/>
            <w:tcBorders>
              <w:top w:val="single" w:sz="6" w:space="0" w:color="A6A6A6"/>
              <w:left w:val="single" w:sz="6" w:space="0" w:color="A6A6A6"/>
              <w:bottom w:val="single" w:sz="6" w:space="0" w:color="A6A6A6"/>
              <w:right w:val="single" w:sz="6" w:space="0" w:color="A6A6A6"/>
            </w:tcBorders>
            <w:shd w:val="clear" w:color="auto" w:fill="E8EEF5"/>
            <w:tcMar>
              <w:top w:w="0" w:type="dxa"/>
              <w:left w:w="100" w:type="dxa"/>
              <w:bottom w:w="0" w:type="dxa"/>
              <w:right w:w="100" w:type="dxa"/>
            </w:tcMar>
            <w:vAlign w:val="center"/>
            <w:hideMark/>
          </w:tcPr>
          <w:p w14:paraId="7DF38B45"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1</w:t>
            </w:r>
          </w:p>
        </w:tc>
        <w:tc>
          <w:tcPr>
            <w:tcW w:w="0" w:type="auto"/>
            <w:tcBorders>
              <w:top w:val="single" w:sz="6" w:space="0" w:color="A6A6A6"/>
              <w:left w:val="single" w:sz="6" w:space="0" w:color="A6A6A6"/>
              <w:bottom w:val="single" w:sz="6" w:space="0" w:color="A6A6A6"/>
              <w:right w:val="single" w:sz="6" w:space="0" w:color="A6A6A6"/>
            </w:tcBorders>
            <w:shd w:val="clear" w:color="auto" w:fill="E8EEF5"/>
            <w:tcMar>
              <w:top w:w="0" w:type="dxa"/>
              <w:left w:w="100" w:type="dxa"/>
              <w:bottom w:w="0" w:type="dxa"/>
              <w:right w:w="100" w:type="dxa"/>
            </w:tcMar>
            <w:vAlign w:val="center"/>
            <w:hideMark/>
          </w:tcPr>
          <w:p w14:paraId="0332D78C"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b/>
                <w:bCs/>
                <w:sz w:val="19"/>
                <w:szCs w:val="19"/>
              </w:rPr>
              <w:t>Excelligent</w:t>
            </w:r>
          </w:p>
        </w:tc>
      </w:tr>
      <w:tr w:rsidR="00E8340A" w:rsidRPr="00A835CE" w14:paraId="5DE86CBA" w14:textId="77777777" w:rsidTr="008C23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6A17C231"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SAP functional lead</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2C81BD66"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1</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084BC59A"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HyvX</w:t>
            </w:r>
          </w:p>
        </w:tc>
      </w:tr>
      <w:tr w:rsidR="00E8340A" w:rsidRPr="00A835CE" w14:paraId="2E5BEFF2" w14:textId="77777777" w:rsidTr="008C23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389FF5DC"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SAP CPI consultant</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6BA7CE0A"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1</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1F983CA9"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HyvX</w:t>
            </w:r>
          </w:p>
        </w:tc>
      </w:tr>
      <w:tr w:rsidR="00E8340A" w:rsidRPr="00A835CE" w14:paraId="2A499AEE" w14:textId="77777777" w:rsidTr="008C23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1810D482"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SAP Commerce (Hybris) consultants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58B53E8A"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2</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3C2D20A1"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HyvX</w:t>
            </w:r>
          </w:p>
        </w:tc>
      </w:tr>
      <w:tr w:rsidR="00E8340A" w:rsidRPr="00A835CE" w14:paraId="4D09D43A" w14:textId="77777777" w:rsidTr="008C23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64C95927"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Front-end developers / UI developer</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1B6E0BF4"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3 / 1</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67CD60DC"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HyvX</w:t>
            </w:r>
          </w:p>
        </w:tc>
      </w:tr>
      <w:tr w:rsidR="00E8340A" w:rsidRPr="00A835CE" w14:paraId="36A6E1A3" w14:textId="77777777" w:rsidTr="008C23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0D1F9C06"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Business analysts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10B15BB0"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2</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7F1729AE"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HyvX</w:t>
            </w:r>
          </w:p>
        </w:tc>
      </w:tr>
      <w:tr w:rsidR="00E8340A" w:rsidRPr="00A835CE" w14:paraId="43245357" w14:textId="77777777" w:rsidTr="008C23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3B2AF392"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Architects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79CEFB35"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3</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148811EC" w14:textId="77777777" w:rsidR="00FA6D36" w:rsidRPr="00A835CE" w:rsidRDefault="00FA6D36" w:rsidP="008C233C">
            <w:pPr>
              <w:keepNext/>
              <w:rPr>
                <w:rFonts w:ascii="Calibri" w:eastAsia="Times New Roman" w:hAnsi="Calibri" w:cs="Calibri"/>
                <w:sz w:val="19"/>
                <w:szCs w:val="19"/>
              </w:rPr>
            </w:pPr>
            <w:r w:rsidRPr="00A835CE">
              <w:rPr>
                <w:rFonts w:ascii="Calibri" w:eastAsia="Times New Roman" w:hAnsi="Calibri" w:cs="Calibri"/>
                <w:sz w:val="19"/>
                <w:szCs w:val="19"/>
              </w:rPr>
              <w:t>HyvX</w:t>
            </w:r>
          </w:p>
        </w:tc>
      </w:tr>
      <w:tr w:rsidR="00E8340A" w:rsidRPr="00A835CE" w14:paraId="44E010D7" w14:textId="77777777" w:rsidTr="008C23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639E0AD1" w14:textId="77777777" w:rsidR="00FA6D36" w:rsidRPr="00A835CE" w:rsidRDefault="00FA6D36" w:rsidP="008C233C">
            <w:pPr>
              <w:rPr>
                <w:rFonts w:ascii="Calibri" w:eastAsia="Times New Roman" w:hAnsi="Calibri" w:cs="Calibri"/>
                <w:sz w:val="19"/>
                <w:szCs w:val="19"/>
              </w:rPr>
            </w:pPr>
            <w:r w:rsidRPr="00A835CE">
              <w:rPr>
                <w:rFonts w:ascii="Calibri" w:eastAsia="Times New Roman" w:hAnsi="Calibri" w:cs="Calibri"/>
                <w:sz w:val="19"/>
                <w:szCs w:val="19"/>
              </w:rPr>
              <w:t>Project managers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4111E871" w14:textId="77777777" w:rsidR="00FA6D36" w:rsidRPr="00A835CE" w:rsidRDefault="00FA6D36" w:rsidP="008C233C">
            <w:pPr>
              <w:rPr>
                <w:rFonts w:ascii="Calibri" w:eastAsia="Times New Roman" w:hAnsi="Calibri" w:cs="Calibri"/>
                <w:sz w:val="19"/>
                <w:szCs w:val="19"/>
              </w:rPr>
            </w:pPr>
            <w:r w:rsidRPr="00A835CE">
              <w:rPr>
                <w:rFonts w:ascii="Calibri" w:eastAsia="Times New Roman" w:hAnsi="Calibri" w:cs="Calibri"/>
                <w:sz w:val="19"/>
                <w:szCs w:val="19"/>
              </w:rPr>
              <w:t>2</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670EFBD5" w14:textId="77777777" w:rsidR="00FA6D36" w:rsidRPr="00A835CE" w:rsidRDefault="00FA6D36" w:rsidP="008C233C">
            <w:pPr>
              <w:rPr>
                <w:rFonts w:ascii="Calibri" w:eastAsia="Times New Roman" w:hAnsi="Calibri" w:cs="Calibri"/>
                <w:sz w:val="19"/>
                <w:szCs w:val="19"/>
              </w:rPr>
            </w:pPr>
            <w:r w:rsidRPr="00A835CE">
              <w:rPr>
                <w:rFonts w:ascii="Calibri" w:eastAsia="Times New Roman" w:hAnsi="Calibri" w:cs="Calibri"/>
                <w:sz w:val="19"/>
                <w:szCs w:val="19"/>
              </w:rPr>
              <w:t>HyvX</w:t>
            </w:r>
          </w:p>
        </w:tc>
      </w:tr>
    </w:tbl>
    <w:p w14:paraId="62F2E89C" w14:textId="77777777" w:rsidR="00FA6D36" w:rsidRPr="00A835CE" w:rsidRDefault="00FA6D36">
      <w:pPr>
        <w:pStyle w:val="NormalWeb"/>
        <w:spacing w:line="259" w:lineRule="auto"/>
        <w:rPr>
          <w:rFonts w:ascii="Calibri" w:hAnsi="Calibri" w:cs="Calibri"/>
          <w:sz w:val="20"/>
          <w:szCs w:val="20"/>
        </w:rPr>
      </w:pPr>
      <w:r w:rsidRPr="00A835CE">
        <w:rPr>
          <w:rFonts w:ascii="Calibri" w:hAnsi="Calibri" w:cs="Calibri"/>
          <w:sz w:val="20"/>
          <w:szCs w:val="20"/>
        </w:rPr>
        <w:t>Datasphere is handled by a separate team of two consultants. Business ownership and sign-off stay with Shree Cement.</w:t>
      </w:r>
    </w:p>
    <w:p w14:paraId="1BD2A714" w14:textId="77777777" w:rsidR="00FA6D36" w:rsidRPr="00A835CE" w:rsidRDefault="00FA6D36">
      <w:pPr>
        <w:pStyle w:val="Heading2"/>
        <w:spacing w:line="259" w:lineRule="auto"/>
        <w:rPr>
          <w:rFonts w:ascii="Calibri" w:eastAsia="Times New Roman" w:hAnsi="Calibri" w:cs="Calibri"/>
        </w:rPr>
      </w:pPr>
      <w:r w:rsidRPr="00A835CE">
        <w:rPr>
          <w:rFonts w:ascii="Calibri" w:eastAsia="Times New Roman" w:hAnsi="Calibri" w:cs="Calibri"/>
        </w:rPr>
        <w:t>6. Current initiatives</w:t>
      </w:r>
    </w:p>
    <w:p w14:paraId="7B606E26" w14:textId="77777777" w:rsidR="00FA6D36" w:rsidRPr="00A835CE" w:rsidRDefault="00FA6D36">
      <w:pPr>
        <w:numPr>
          <w:ilvl w:val="0"/>
          <w:numId w:val="4"/>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Goods receipt (MIGO) from the portal.</w:t>
      </w:r>
      <w:r w:rsidRPr="00A835CE">
        <w:rPr>
          <w:rFonts w:ascii="Calibri" w:eastAsia="Times New Roman" w:hAnsi="Calibri" w:cs="Calibri"/>
          <w:sz w:val="20"/>
          <w:szCs w:val="20"/>
        </w:rPr>
        <w:t xml:space="preserve"> The standard SAP interface posts goods receipts, but it skips eight Shree Cement–specific checks that only run inside the MIGO screen, such as quantity, storage-location and billing-status checks. These rules are being moved into SAP's supported enhancement point (a BAdI) so portal and SAP users get the same controls.</w:t>
      </w:r>
    </w:p>
    <w:p w14:paraId="3D6E9760" w14:textId="77777777" w:rsidR="00FA6D36" w:rsidRPr="00A835CE" w:rsidRDefault="00FA6D36">
      <w:pPr>
        <w:numPr>
          <w:ilvl w:val="0"/>
          <w:numId w:val="4"/>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Create Delivery Instruction.</w:t>
      </w:r>
      <w:r w:rsidRPr="00A835CE">
        <w:rPr>
          <w:rFonts w:ascii="Calibri" w:eastAsia="Times New Roman" w:hAnsi="Calibri" w:cs="Calibri"/>
          <w:sz w:val="20"/>
          <w:szCs w:val="20"/>
        </w:rPr>
        <w:t xml:space="preserve"> The standard delivery API has been proven to create stock transfer deliveries in QA. The custom delivery rules (route, load, freight, depot storage location) are now being audited to see which apply to portal-created deliveries.</w:t>
      </w:r>
    </w:p>
    <w:p w14:paraId="56B2032F" w14:textId="77777777" w:rsidR="00FA6D36" w:rsidRPr="00A835CE" w:rsidRDefault="00FA6D36">
      <w:pPr>
        <w:numPr>
          <w:ilvl w:val="0"/>
          <w:numId w:val="4"/>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Pre-dispatch depot validation.</w:t>
      </w:r>
      <w:r w:rsidRPr="00A835CE">
        <w:rPr>
          <w:rFonts w:ascii="Calibri" w:eastAsia="Times New Roman" w:hAnsi="Calibri" w:cs="Calibri"/>
          <w:sz w:val="20"/>
          <w:szCs w:val="20"/>
        </w:rPr>
        <w:t xml:space="preserve"> An existing SAP button checks batch, vehicle, LR/GR, transporter and Incoterm before dispatch. The proposal is to turn it into one reusable check that always runs before PGI.</w:t>
      </w:r>
    </w:p>
    <w:p w14:paraId="0630FC97" w14:textId="77777777" w:rsidR="00FA6D36" w:rsidRPr="00A835CE" w:rsidRDefault="00FA6D36">
      <w:pPr>
        <w:numPr>
          <w:ilvl w:val="0"/>
          <w:numId w:val="4"/>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Invoice, shipment cost and statutory documents.</w:t>
      </w:r>
      <w:r w:rsidRPr="00A835CE">
        <w:rPr>
          <w:rFonts w:ascii="Calibri" w:eastAsia="Times New Roman" w:hAnsi="Calibri" w:cs="Calibri"/>
          <w:sz w:val="20"/>
          <w:szCs w:val="20"/>
        </w:rPr>
        <w:t xml:space="preserve"> Identifying the right SAP route for invoices and shipment costs, and reusing the existing DigiGST/EY integration for e-Invoice and E-Way Bill instead of building a new one.</w:t>
      </w:r>
    </w:p>
    <w:p w14:paraId="2056F085" w14:textId="77777777" w:rsidR="00FA6D36" w:rsidRPr="00A835CE" w:rsidRDefault="00FA6D36">
      <w:pPr>
        <w:pStyle w:val="Heading2"/>
        <w:spacing w:line="259" w:lineRule="auto"/>
        <w:rPr>
          <w:rFonts w:ascii="Calibri" w:eastAsia="Times New Roman" w:hAnsi="Calibri" w:cs="Calibri"/>
        </w:rPr>
      </w:pPr>
      <w:r w:rsidRPr="00A835CE">
        <w:rPr>
          <w:rFonts w:ascii="Calibri" w:eastAsia="Times New Roman" w:hAnsi="Calibri" w:cs="Calibri"/>
        </w:rPr>
        <w:t>7. Representative issues handled</w:t>
      </w:r>
    </w:p>
    <w:p w14:paraId="4255D29E" w14:textId="77777777" w:rsidR="00FA6D36" w:rsidRPr="00A835CE" w:rsidRDefault="00FA6D36">
      <w:pPr>
        <w:numPr>
          <w:ilvl w:val="0"/>
          <w:numId w:val="5"/>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"The API worked, but the business check didn't run."</w:t>
      </w:r>
      <w:r w:rsidRPr="00A835CE">
        <w:rPr>
          <w:rFonts w:ascii="Calibri" w:eastAsia="Times New Roman" w:hAnsi="Calibri" w:cs="Calibri"/>
          <w:sz w:val="20"/>
          <w:szCs w:val="20"/>
        </w:rPr>
        <w:t xml:space="preserve"> Showed that standard SAP APIs can post a valid document while skipping Shree Cement's custom validations, so the gap is closed before go-live, not after.</w:t>
      </w:r>
    </w:p>
    <w:p w14:paraId="717DC8FE" w14:textId="77777777" w:rsidR="00FA6D36" w:rsidRPr="00A835CE" w:rsidRDefault="00FA6D36">
      <w:pPr>
        <w:numPr>
          <w:ilvl w:val="0"/>
          <w:numId w:val="5"/>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Standard over custom.</w:t>
      </w:r>
      <w:r w:rsidRPr="00A835CE">
        <w:rPr>
          <w:rFonts w:ascii="Calibri" w:eastAsia="Times New Roman" w:hAnsi="Calibri" w:cs="Calibri"/>
          <w:sz w:val="20"/>
          <w:szCs w:val="20"/>
        </w:rPr>
        <w:t xml:space="preserve"> Reviewed more than 2,600 SAP service projects and confirmed standard APIs for stock availability, delivery creation and goods receipt, avoiding unnecessary custom development.</w:t>
      </w:r>
    </w:p>
    <w:p w14:paraId="0194B110" w14:textId="77777777" w:rsidR="00FA6D36" w:rsidRPr="00A835CE" w:rsidRDefault="00FA6D36">
      <w:pPr>
        <w:numPr>
          <w:ilvl w:val="0"/>
          <w:numId w:val="5"/>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Correcting a wrong conclusion.</w:t>
      </w:r>
      <w:r w:rsidRPr="00A835CE">
        <w:rPr>
          <w:rFonts w:ascii="Calibri" w:eastAsia="Times New Roman" w:hAnsi="Calibri" w:cs="Calibri"/>
          <w:sz w:val="20"/>
          <w:szCs w:val="20"/>
        </w:rPr>
        <w:t xml:space="preserve"> An early test suggested SAP's preferred enhancement point was never called. The cause was traced to an unrelated failure earlier in the test run, the SAP-recommended approach was restored, and a riskier code change was withdrawn at architecture review.</w:t>
      </w:r>
    </w:p>
    <w:p w14:paraId="40595ECC" w14:textId="77777777" w:rsidR="00FA6D36" w:rsidRPr="00A835CE" w:rsidRDefault="00FA6D36">
      <w:pPr>
        <w:numPr>
          <w:ilvl w:val="0"/>
          <w:numId w:val="5"/>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Clarifying data meaning.</w:t>
      </w:r>
      <w:r w:rsidRPr="00A835CE">
        <w:rPr>
          <w:rFonts w:ascii="Calibri" w:eastAsia="Times New Roman" w:hAnsi="Calibri" w:cs="Calibri"/>
          <w:sz w:val="20"/>
          <w:szCs w:val="20"/>
        </w:rPr>
        <w:t xml:space="preserve"> Found fields with the same name but different meanings (for example, plant versus depot codes, or sales organisation versus company code) and raised them with the owners before they caused posting errors.</w:t>
      </w:r>
    </w:p>
    <w:p w14:paraId="3F96837D" w14:textId="77777777" w:rsidR="00FA6D36" w:rsidRPr="00A835CE" w:rsidRDefault="00FA6D36">
      <w:pPr>
        <w:pStyle w:val="Heading2"/>
        <w:spacing w:line="259" w:lineRule="auto"/>
        <w:rPr>
          <w:rFonts w:ascii="Calibri" w:eastAsia="Times New Roman" w:hAnsi="Calibri" w:cs="Calibri"/>
        </w:rPr>
      </w:pPr>
      <w:r w:rsidRPr="00A835CE">
        <w:rPr>
          <w:rFonts w:ascii="Calibri" w:eastAsia="Times New Roman" w:hAnsi="Calibri" w:cs="Calibri"/>
        </w:rPr>
        <w:t>8. Value delivered to Shree Cement</w:t>
      </w:r>
    </w:p>
    <w:p w14:paraId="0C3F2D60" w14:textId="77777777" w:rsidR="00FA6D36" w:rsidRPr="00A835CE" w:rsidRDefault="00FA6D36">
      <w:pPr>
        <w:numPr>
          <w:ilvl w:val="0"/>
          <w:numId w:val="6"/>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SAP depth inside the delivery team:</w:t>
      </w:r>
      <w:r w:rsidRPr="00A835CE">
        <w:rPr>
          <w:rFonts w:ascii="Calibri" w:eastAsia="Times New Roman" w:hAnsi="Calibri" w:cs="Calibri"/>
          <w:sz w:val="20"/>
          <w:szCs w:val="20"/>
        </w:rPr>
        <w:t xml:space="preserve"> an SD and ABAP pairing that connects what a business process means to how SAP actually processes it.</w:t>
      </w:r>
    </w:p>
    <w:p w14:paraId="6EBC82FB" w14:textId="77777777" w:rsidR="00FA6D36" w:rsidRPr="00A835CE" w:rsidRDefault="00FA6D36">
      <w:pPr>
        <w:numPr>
          <w:ilvl w:val="0"/>
          <w:numId w:val="6"/>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Controls are kept:</w:t>
      </w:r>
      <w:r w:rsidRPr="00A835CE">
        <w:rPr>
          <w:rFonts w:ascii="Calibri" w:eastAsia="Times New Roman" w:hAnsi="Calibri" w:cs="Calibri"/>
          <w:sz w:val="20"/>
          <w:szCs w:val="20"/>
        </w:rPr>
        <w:t xml:space="preserve"> portal transactions go through the same business validations as SAP transactions, protecting stock accuracy, invoicing and statutory compliance.</w:t>
      </w:r>
    </w:p>
    <w:p w14:paraId="50F9BF7C" w14:textId="77777777" w:rsidR="00FA6D36" w:rsidRPr="00A835CE" w:rsidRDefault="00FA6D36">
      <w:pPr>
        <w:numPr>
          <w:ilvl w:val="0"/>
          <w:numId w:val="6"/>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Lower long-term cost:</w:t>
      </w:r>
      <w:r w:rsidRPr="00A835CE">
        <w:rPr>
          <w:rFonts w:ascii="Calibri" w:eastAsia="Times New Roman" w:hAnsi="Calibri" w:cs="Calibri"/>
          <w:sz w:val="20"/>
          <w:szCs w:val="20"/>
        </w:rPr>
        <w:t xml:space="preserve"> standard SAP APIs and supported enhancement points are used wherever possible, reducing custom code and upgrade risk.</w:t>
      </w:r>
    </w:p>
    <w:p w14:paraId="1833CBE5" w14:textId="77777777" w:rsidR="00FA6D36" w:rsidRPr="00A835CE" w:rsidRDefault="00FA6D36">
      <w:pPr>
        <w:numPr>
          <w:ilvl w:val="0"/>
          <w:numId w:val="6"/>
        </w:numPr>
        <w:spacing w:after="20" w:line="259" w:lineRule="auto"/>
        <w:rPr>
          <w:rFonts w:ascii="Calibri" w:eastAsia="Times New Roman" w:hAnsi="Calibri" w:cs="Calibri"/>
          <w:sz w:val="20"/>
          <w:szCs w:val="20"/>
        </w:rPr>
      </w:pPr>
      <w:r w:rsidRPr="00A835CE">
        <w:rPr>
          <w:rFonts w:ascii="Calibri" w:eastAsia="Times New Roman" w:hAnsi="Calibri" w:cs="Calibri"/>
          <w:b/>
          <w:bCs/>
          <w:sz w:val="20"/>
          <w:szCs w:val="20"/>
        </w:rPr>
        <w:t>Evidence-based readiness:</w:t>
      </w:r>
      <w:r w:rsidRPr="00A835CE">
        <w:rPr>
          <w:rFonts w:ascii="Calibri" w:eastAsia="Times New Roman" w:hAnsi="Calibri" w:cs="Calibri"/>
          <w:sz w:val="20"/>
          <w:szCs w:val="20"/>
        </w:rPr>
        <w:t xml:space="preserve"> an interface counts as done only when the SAP document has been created, checked in SAP and tested for duplicate and error cases.</w:t>
      </w:r>
    </w:p>
    <w:sectPr w:rsidR="00FA6D36" w:rsidRPr="00A835CE">
      <w:pgSz w:w="11907" w:h="16840"/>
      <w:pgMar w:top="851" w:right="1077" w:bottom="851"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16E2"/>
    <w:multiLevelType w:val="multilevel"/>
    <w:tmpl w:val="178C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06132"/>
    <w:multiLevelType w:val="multilevel"/>
    <w:tmpl w:val="EE2E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A2885"/>
    <w:multiLevelType w:val="multilevel"/>
    <w:tmpl w:val="5C9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71BB1"/>
    <w:multiLevelType w:val="multilevel"/>
    <w:tmpl w:val="0EB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60345"/>
    <w:multiLevelType w:val="multilevel"/>
    <w:tmpl w:val="A62C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F0C77"/>
    <w:multiLevelType w:val="multilevel"/>
    <w:tmpl w:val="D6E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558227">
    <w:abstractNumId w:val="4"/>
  </w:num>
  <w:num w:numId="2" w16cid:durableId="1103846353">
    <w:abstractNumId w:val="1"/>
  </w:num>
  <w:num w:numId="3" w16cid:durableId="29764885">
    <w:abstractNumId w:val="2"/>
  </w:num>
  <w:num w:numId="4" w16cid:durableId="1579242330">
    <w:abstractNumId w:val="0"/>
  </w:num>
  <w:num w:numId="5" w16cid:durableId="893740738">
    <w:abstractNumId w:val="5"/>
  </w:num>
  <w:num w:numId="6" w16cid:durableId="1921325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41"/>
    <w:rsid w:val="006B2541"/>
    <w:rsid w:val="008C233C"/>
    <w:rsid w:val="009D63C5"/>
    <w:rsid w:val="00A835CE"/>
    <w:rsid w:val="00E8340A"/>
    <w:rsid w:val="00F82326"/>
    <w:rsid w:val="00FA6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DDEB0F"/>
  <w15:chartTrackingRefBased/>
  <w15:docId w15:val="{FDF51464-F6E7-4EB0-A362-DEAA2F43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pBdr>
        <w:bottom w:val="single" w:sz="6" w:space="1" w:color="BFBFBF"/>
      </w:pBdr>
      <w:spacing w:before="140" w:after="60"/>
      <w:outlineLvl w:val="1"/>
    </w:pPr>
    <w:rPr>
      <w:b/>
      <w:bCs/>
      <w:color w:val="1F3A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60"/>
    </w:pPr>
  </w:style>
  <w:style w:type="paragraph" w:styleId="NormalWeb">
    <w:name w:val="Normal (Web)"/>
    <w:basedOn w:val="Normal"/>
    <w:uiPriority w:val="99"/>
    <w:semiHidden/>
    <w:unhideWhenUsed/>
    <w:pPr>
      <w:spacing w:after="60"/>
    </w:pPr>
  </w:style>
  <w:style w:type="paragraph" w:customStyle="1" w:styleId="sub">
    <w:name w:val="sub"/>
    <w:basedOn w:val="Normal"/>
    <w:pPr>
      <w:spacing w:after="120"/>
    </w:pPr>
    <w:rPr>
      <w:i/>
      <w:iCs/>
      <w:color w:val="59595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1006</Words>
  <Characters>5625</Characters>
  <Application>Microsoft Office Word</Application>
  <DocSecurity>0</DocSecurity>
  <Lines>109</Lines>
  <Paragraphs>70</Paragraphs>
  <ScaleCrop>false</ScaleCrop>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Excelligent at Shree Cement — Engagement Summary</dc:title>
  <dc:subject/>
  <dc:creator>sidharth shrivastav</dc:creator>
  <cp:keywords/>
  <dc:description/>
  <cp:lastModifiedBy>sidharth shrivastav</cp:lastModifiedBy>
  <cp:revision>4</cp:revision>
  <dcterms:created xsi:type="dcterms:W3CDTF">2026-09-16T15:47:00Z</dcterms:created>
  <dcterms:modified xsi:type="dcterms:W3CDTF">2026-09-16T15:47:00Z</dcterms:modified>
</cp:coreProperties>
</file>