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71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настройку прав доступа пользователей к ресурсам сети</w:t>
      </w:r>
    </w:p>
    <w:bookmarkEnd w:id="20"/>
    <w:bookmarkStart w:id="10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Настройка списков управления доступом (ACL)</w:t>
      </w:r>
    </w:p>
    <w:bookmarkStart w:id="25" w:name="анализ-топологии-сети"/>
    <w:p>
      <w:pPr>
        <w:pStyle w:val="Heading2"/>
      </w:pPr>
      <w:r>
        <w:t xml:space="preserve">2.1 Анализ топологии сети</w:t>
      </w:r>
    </w:p>
    <w:p>
      <w:pPr>
        <w:pStyle w:val="FirstParagraph"/>
      </w:pPr>
      <w:r>
        <w:t xml:space="preserve">На первом этапе в сеть был добавлен ноутбук администратора и подключён к коммутатору для дальнейшей настройки прав доступа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234243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2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Логическая топология сети с серверами и сегментацией VLAN</w:t>
            </w:r>
          </w:p>
          <w:bookmarkEnd w:id="24"/>
        </w:tc>
      </w:tr>
    </w:tbl>
    <w:bookmarkEnd w:id="25"/>
    <w:bookmarkStart w:id="30" w:name="настройка-ip-параметров-администратора"/>
    <w:p>
      <w:pPr>
        <w:pStyle w:val="Heading2"/>
      </w:pPr>
      <w:r>
        <w:t xml:space="preserve">2.2 Настройка IP-параметров администратора</w:t>
      </w:r>
    </w:p>
    <w:p>
      <w:pPr>
        <w:pStyle w:val="FirstParagraph"/>
      </w:pPr>
      <w:r>
        <w:t xml:space="preserve">На ноутбуке администратора был задан статический IP-адрес 10.128.6.200, маска 255.255.255.0, шлюз 10.128.6.1 и DNS-сервер 10.128.0.5. Это необходимо для предоставления административных прав доступа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</w:t>
      </w:r>
      <w:r>
        <w:t xml:space="preserve"> </w:t>
      </w:r>
      <w:r>
        <w:t xml:space="preserve">[2]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264393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3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статических IP-параметров администратора</w:t>
            </w:r>
          </w:p>
          <w:bookmarkEnd w:id="29"/>
        </w:tc>
      </w:tr>
    </w:tbl>
    <w:bookmarkEnd w:id="30"/>
    <w:bookmarkStart w:id="35" w:name="создание-acl-для-web-сервера"/>
    <w:p>
      <w:pPr>
        <w:pStyle w:val="Heading2"/>
      </w:pPr>
      <w:r>
        <w:t xml:space="preserve">2.3 Создание ACL для web-сервера</w:t>
      </w:r>
    </w:p>
    <w:p>
      <w:pPr>
        <w:pStyle w:val="FirstParagraph"/>
      </w:pPr>
      <w:r>
        <w:t xml:space="preserve">На маршрутизаторе был создан расширенный список доступа servers-out и добавлено правило разрешения HTTP-трафика (порт 80 TCP) ко web-серверу с адресом 10.128.0.2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</w:t>
      </w:r>
      <w:r>
        <w:t xml:space="preserve"> </w:t>
      </w:r>
      <w:r>
        <w:t xml:space="preserve">[3]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3"/>
          <w:p>
            <w:pPr>
              <w:pStyle w:val="Compact"/>
              <w:jc w:val="center"/>
            </w:pPr>
            <w:r>
              <w:drawing>
                <wp:inline>
                  <wp:extent cx="3733800" cy="72991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9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ACL и разрешение HTTP-доступа к web-серверу</w:t>
            </w:r>
          </w:p>
          <w:bookmarkEnd w:id="34"/>
        </w:tc>
      </w:tr>
    </w:tbl>
    <w:bookmarkEnd w:id="35"/>
    <w:bookmarkStart w:id="40" w:name="привязка-acl-к-интерфейсу-маршрутизатора"/>
    <w:p>
      <w:pPr>
        <w:pStyle w:val="Heading2"/>
      </w:pPr>
      <w:r>
        <w:t xml:space="preserve">2.4 Привязка ACL к интерфейсу маршрутизатора</w:t>
      </w:r>
    </w:p>
    <w:p>
      <w:pPr>
        <w:pStyle w:val="FirstParagraph"/>
      </w:pPr>
      <w:r>
        <w:t xml:space="preserve">ACL servers-out был применён к подинтерфейсу f0/0.3 в направлении исходящего трафика. Это обеспечивает фильтрацию пакетов, направляемых к сети серверов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</w:t>
      </w:r>
      <w:r>
        <w:t xml:space="preserve"> </w:t>
      </w:r>
      <w:r>
        <w:t xml:space="preserve">[2]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4"/>
          <w:p>
            <w:pPr>
              <w:pStyle w:val="Compact"/>
              <w:jc w:val="center"/>
            </w:pPr>
            <w:r>
              <w:drawing>
                <wp:inline>
                  <wp:extent cx="3733800" cy="2058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Привязка ACL к интерфейсу маршрутизатора</w:t>
            </w:r>
          </w:p>
          <w:bookmarkEnd w:id="39"/>
        </w:tc>
      </w:tr>
    </w:tbl>
    <w:bookmarkEnd w:id="40"/>
    <w:bookmarkStart w:id="45" w:name="проверка-доступа-к-web-серверу"/>
    <w:p>
      <w:pPr>
        <w:pStyle w:val="Heading2"/>
      </w:pPr>
      <w:r>
        <w:t xml:space="preserve">2.5 Проверка доступа к web-серверу</w:t>
      </w:r>
    </w:p>
    <w:p>
      <w:pPr>
        <w:pStyle w:val="FirstParagraph"/>
      </w:pPr>
      <w:r>
        <w:t xml:space="preserve">С клиентского устройства выполнено обращение к web-серверу по IP-адресу через браузер. Доступ по HTTP успешно установлен, что подтверждает корректность настройки ACL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5"/>
          <w:p>
            <w:pPr>
              <w:pStyle w:val="Compact"/>
              <w:jc w:val="center"/>
            </w:pPr>
            <w:r>
              <w:drawing>
                <wp:inline>
                  <wp:extent cx="3733800" cy="343937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39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доступа к web-серверу через HTTP</w:t>
            </w:r>
          </w:p>
          <w:bookmarkEnd w:id="44"/>
        </w:tc>
      </w:tr>
    </w:tbl>
    <w:bookmarkEnd w:id="45"/>
    <w:bookmarkStart w:id="50" w:name="Xe64057fdd12eb7e5db6dbc0e5d31be826c9921c"/>
    <w:p>
      <w:pPr>
        <w:pStyle w:val="Heading2"/>
      </w:pPr>
      <w:r>
        <w:t xml:space="preserve">2.6 Настройка дополнительных прав администратора</w:t>
      </w:r>
    </w:p>
    <w:p>
      <w:pPr>
        <w:pStyle w:val="FirstParagraph"/>
      </w:pPr>
      <w:r>
        <w:t xml:space="preserve">В ACL были добавлены правила, разрешающие администратору (10.128.6.200) доступ к web-серверу по протоколам FTP и Telnet. Это обеспечивает расширенные права управления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6"/>
          <w:p>
            <w:pPr>
              <w:pStyle w:val="Compact"/>
              <w:jc w:val="center"/>
            </w:pPr>
            <w:r>
              <w:drawing>
                <wp:inline>
                  <wp:extent cx="3733800" cy="48617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6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Разрешение FTP и Telnet для администратора</w:t>
            </w:r>
          </w:p>
          <w:bookmarkEnd w:id="49"/>
        </w:tc>
      </w:tr>
    </w:tbl>
    <w:bookmarkEnd w:id="50"/>
    <w:bookmarkStart w:id="55" w:name="проверка-ftp-доступа-администратора"/>
    <w:p>
      <w:pPr>
        <w:pStyle w:val="Heading2"/>
      </w:pPr>
      <w:r>
        <w:t xml:space="preserve">2.7 Проверка FTP-доступа администратора</w:t>
      </w:r>
    </w:p>
    <w:p>
      <w:pPr>
        <w:pStyle w:val="FirstParagraph"/>
      </w:pPr>
      <w:r>
        <w:t xml:space="preserve">С устройства администратора выполнено подключение к web-серверу по FTP. Аутентификация прошла успешно, что подтверждает корректность настроенных правил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7"/>
          <w:p>
            <w:pPr>
              <w:pStyle w:val="Compact"/>
              <w:jc w:val="center"/>
            </w:pPr>
            <w:r>
              <w:drawing>
                <wp:inline>
                  <wp:extent cx="3733800" cy="320613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06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Успешное FTP-подключение администратора</w:t>
            </w:r>
          </w:p>
          <w:bookmarkEnd w:id="54"/>
        </w:tc>
      </w:tr>
    </w:tbl>
    <w:bookmarkEnd w:id="55"/>
    <w:bookmarkStart w:id="60" w:name="X62c88ecaf3859d40959631711972a9356ff789d"/>
    <w:p>
      <w:pPr>
        <w:pStyle w:val="Heading2"/>
      </w:pPr>
      <w:r>
        <w:t xml:space="preserve">2.8 Проверка ограничения доступа для пользователей</w:t>
      </w:r>
    </w:p>
    <w:p>
      <w:pPr>
        <w:pStyle w:val="FirstParagraph"/>
      </w:pPr>
      <w:r>
        <w:t xml:space="preserve">С обычного клиентского устройства попытка FTP-подключения завершилась ошибкой. Это подтверждает, что доступ ограничен согласно ACL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</w:t>
      </w:r>
      <w:r>
        <w:t xml:space="preserve"> </w:t>
      </w:r>
      <w:r>
        <w:t xml:space="preserve">[3]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8"/>
          <w:p>
            <w:pPr>
              <w:pStyle w:val="Compact"/>
              <w:jc w:val="center"/>
            </w:pPr>
            <w:r>
              <w:drawing>
                <wp:inline>
                  <wp:extent cx="3733800" cy="1735477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5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Ограничение FTP-доступа для обычных пользователей</w:t>
            </w:r>
          </w:p>
          <w:bookmarkEnd w:id="59"/>
        </w:tc>
      </w:tr>
    </w:tbl>
    <w:bookmarkEnd w:id="60"/>
    <w:bookmarkStart w:id="65" w:name="настройка-доступа-к-файловому-серверу"/>
    <w:p>
      <w:pPr>
        <w:pStyle w:val="Heading2"/>
      </w:pPr>
      <w:r>
        <w:t xml:space="preserve">2.9 Настройка доступа к файловому серверу</w:t>
      </w:r>
    </w:p>
    <w:p>
      <w:pPr>
        <w:pStyle w:val="FirstParagraph"/>
      </w:pPr>
      <w:r>
        <w:t xml:space="preserve">В список servers-out добавлены правила для файлового сервера (10.128.0.3), разрешающие доступ по SMB (порт 445) для внутренней сети и FTP для всех пользователей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</w:t>
      </w:r>
      <w:r>
        <w:t xml:space="preserve"> </w:t>
      </w:r>
      <w:r>
        <w:t xml:space="preserve">[2]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9"/>
          <w:p>
            <w:pPr>
              <w:pStyle w:val="Compact"/>
              <w:jc w:val="center"/>
            </w:pPr>
            <w:r>
              <w:drawing>
                <wp:inline>
                  <wp:extent cx="3733800" cy="37580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5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доступа к файловому серверу</w:t>
            </w:r>
          </w:p>
          <w:bookmarkEnd w:id="64"/>
        </w:tc>
      </w:tr>
    </w:tbl>
    <w:bookmarkEnd w:id="65"/>
    <w:bookmarkStart w:id="70" w:name="настройка-доступа-к-почтовому-серверу"/>
    <w:p>
      <w:pPr>
        <w:pStyle w:val="Heading2"/>
      </w:pPr>
      <w:r>
        <w:t xml:space="preserve">2.10 Настройка доступа к почтовому серверу</w:t>
      </w:r>
    </w:p>
    <w:p>
      <w:pPr>
        <w:pStyle w:val="FirstParagraph"/>
      </w:pPr>
      <w:r>
        <w:t xml:space="preserve">Добавлены правила разрешения SMTP и POP3 для почтового сервера (10.128.0.4), что обеспечивает работу почтовых сервисов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</w:t>
      </w:r>
      <w:r>
        <w:t xml:space="preserve"> </w:t>
      </w:r>
      <w:r>
        <w:t xml:space="preserve">[3]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10"/>
          <w:p>
            <w:pPr>
              <w:pStyle w:val="Compact"/>
              <w:jc w:val="center"/>
            </w:pPr>
            <w:r>
              <w:drawing>
                <wp:inline>
                  <wp:extent cx="3733800" cy="427237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72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доступа к почтовому серверу</w:t>
            </w:r>
          </w:p>
          <w:bookmarkEnd w:id="69"/>
        </w:tc>
      </w:tr>
    </w:tbl>
    <w:bookmarkEnd w:id="70"/>
    <w:bookmarkStart w:id="75" w:name="настройка-доступа-к-dns-серверу"/>
    <w:p>
      <w:pPr>
        <w:pStyle w:val="Heading2"/>
      </w:pPr>
      <w:r>
        <w:t xml:space="preserve">2.11 Настройка доступа к DNS-серверу</w:t>
      </w:r>
    </w:p>
    <w:p>
      <w:pPr>
        <w:pStyle w:val="FirstParagraph"/>
      </w:pPr>
      <w:r>
        <w:t xml:space="preserve">Добавлено правило разрешения UDP-трафика на порт 53 к DNS-серверу (10.128.0.5) для внутренней сети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1"/>
          <w:p>
            <w:pPr>
              <w:pStyle w:val="Compact"/>
              <w:jc w:val="center"/>
            </w:pPr>
            <w:r>
              <w:drawing>
                <wp:inline>
                  <wp:extent cx="3733800" cy="362504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2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доступа к DNS-серверу</w:t>
            </w:r>
          </w:p>
          <w:bookmarkEnd w:id="74"/>
        </w:tc>
      </w:tr>
    </w:tbl>
    <w:bookmarkEnd w:id="75"/>
    <w:bookmarkStart w:id="81" w:name="проверка-доступа-по-доменному-имени"/>
    <w:p>
      <w:pPr>
        <w:pStyle w:val="Heading2"/>
      </w:pPr>
      <w:r>
        <w:t xml:space="preserve">2.12 Проверка доступа по доменному имени</w:t>
      </w:r>
    </w:p>
    <w:p>
      <w:pPr>
        <w:pStyle w:val="FirstParagraph"/>
      </w:pPr>
      <w:r>
        <w:t xml:space="preserve">Проверено обращение к web-серверу по доменному имени</w:t>
      </w:r>
      <w:r>
        <w:t xml:space="preserve"> </w:t>
      </w:r>
      <w:hyperlink r:id="rId76">
        <w:r>
          <w:rPr>
            <w:rStyle w:val="Hyperlink"/>
          </w:rPr>
          <w:t xml:space="preserve">www.donskaya.rudn.ru</w:t>
        </w:r>
      </w:hyperlink>
      <w:r>
        <w:t xml:space="preserve">. Успешное открытие страницы подтверждает корректную работу DNS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12"/>
          <w:p>
            <w:pPr>
              <w:pStyle w:val="Compact"/>
              <w:jc w:val="center"/>
            </w:pPr>
            <w:r>
              <w:drawing>
                <wp:inline>
                  <wp:extent cx="3733800" cy="2183103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3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Доступ к web-серверу по доменному имени</w:t>
            </w:r>
          </w:p>
          <w:bookmarkEnd w:id="80"/>
        </w:tc>
      </w:tr>
    </w:tbl>
    <w:bookmarkEnd w:id="81"/>
    <w:bookmarkStart w:id="86" w:name="разрешение-icmp-трафика"/>
    <w:p>
      <w:pPr>
        <w:pStyle w:val="Heading2"/>
      </w:pPr>
      <w:r>
        <w:t xml:space="preserve">2.13 Разрешение ICMP-трафика</w:t>
      </w:r>
    </w:p>
    <w:p>
      <w:pPr>
        <w:pStyle w:val="FirstParagraph"/>
      </w:pPr>
      <w:r>
        <w:t xml:space="preserve">В начало ACL добавлено правило разрешения ICMP для диагностики сети и проверки доступности узлов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</w:t>
      </w:r>
      <w:r>
        <w:t xml:space="preserve"> </w:t>
      </w:r>
      <w:r>
        <w:t xml:space="preserve">[3]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13"/>
          <w:p>
            <w:pPr>
              <w:pStyle w:val="Compact"/>
              <w:jc w:val="center"/>
            </w:pPr>
            <w:r>
              <w:drawing>
                <wp:inline>
                  <wp:extent cx="3733800" cy="987563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7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Добавление правила ICMP в ACL</w:t>
            </w:r>
          </w:p>
          <w:bookmarkEnd w:id="85"/>
        </w:tc>
      </w:tr>
    </w:tbl>
    <w:bookmarkEnd w:id="86"/>
    <w:bookmarkStart w:id="91" w:name="проверка-списка-acl"/>
    <w:p>
      <w:pPr>
        <w:pStyle w:val="Heading2"/>
      </w:pPr>
      <w:r>
        <w:t xml:space="preserve">2.14 Проверка списка ACL</w:t>
      </w:r>
    </w:p>
    <w:p>
      <w:pPr>
        <w:pStyle w:val="FirstParagraph"/>
      </w:pPr>
      <w:r>
        <w:t xml:space="preserve">С помощью команды show access-lists был получен полный список правил ACL с указанием количества совпадений, что подтверждает их применение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</w:t>
      </w:r>
      <w:r>
        <w:t xml:space="preserve"> </w:t>
      </w:r>
      <w:r>
        <w:t xml:space="preserve">[2]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14"/>
          <w:p>
            <w:pPr>
              <w:pStyle w:val="Compact"/>
              <w:jc w:val="center"/>
            </w:pPr>
            <w:r>
              <w:drawing>
                <wp:inline>
                  <wp:extent cx="3194661" cy="77284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4661" cy="772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Вывод списка ACL и статистики совпадений</w:t>
            </w:r>
          </w:p>
          <w:bookmarkEnd w:id="90"/>
        </w:tc>
      </w:tr>
    </w:tbl>
    <w:bookmarkEnd w:id="91"/>
    <w:bookmarkStart w:id="96" w:name="ограничение-доступа-для-сети-other"/>
    <w:p>
      <w:pPr>
        <w:pStyle w:val="Heading2"/>
      </w:pPr>
      <w:r>
        <w:t xml:space="preserve">2.15 Ограничение доступа для сети Other</w:t>
      </w:r>
    </w:p>
    <w:p>
      <w:pPr>
        <w:pStyle w:val="FirstParagraph"/>
      </w:pPr>
      <w:r>
        <w:t xml:space="preserve">Создан ACL other-in, разрешающий полный доступ только администратору и применён к входящему трафику интерфейса f0/0.104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15"/>
          <w:p>
            <w:pPr>
              <w:pStyle w:val="Compact"/>
              <w:jc w:val="center"/>
            </w:pPr>
            <w:r>
              <w:drawing>
                <wp:inline>
                  <wp:extent cx="3733800" cy="1520808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0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Настройка ACL для сети Other</w:t>
            </w:r>
          </w:p>
          <w:bookmarkEnd w:id="95"/>
        </w:tc>
      </w:tr>
    </w:tbl>
    <w:bookmarkEnd w:id="96"/>
    <w:bookmarkStart w:id="101" w:name="ограничение-доступа-к-сети-управления"/>
    <w:p>
      <w:pPr>
        <w:pStyle w:val="Heading2"/>
      </w:pPr>
      <w:r>
        <w:t xml:space="preserve">2.16 Ограничение доступа к сети управления</w:t>
      </w:r>
    </w:p>
    <w:p>
      <w:pPr>
        <w:pStyle w:val="FirstParagraph"/>
      </w:pPr>
      <w:r>
        <w:t xml:space="preserve">Создан ACL management-out, разрешающий доступ к сети управления только администратору, и применён к интерфейсу f0/0.2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</w:t>
      </w:r>
      <w:r>
        <w:t xml:space="preserve"> </w:t>
      </w:r>
      <w:r>
        <w:t xml:space="preserve">[2]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16"/>
          <w:p>
            <w:pPr>
              <w:pStyle w:val="Compact"/>
              <w:jc w:val="center"/>
            </w:pPr>
            <w:r>
              <w:drawing>
                <wp:inline>
                  <wp:extent cx="3733800" cy="72969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9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Настройка доступа к сети управления</w:t>
            </w:r>
          </w:p>
          <w:bookmarkEnd w:id="100"/>
        </w:tc>
      </w:tr>
    </w:tbl>
    <w:bookmarkEnd w:id="101"/>
    <w:bookmarkStart w:id="102" w:name="выводы"/>
    <w:p>
      <w:pPr>
        <w:pStyle w:val="Heading2"/>
      </w:pPr>
      <w:r>
        <w:t xml:space="preserve">2.17 Выводы</w:t>
      </w:r>
    </w:p>
    <w:p>
      <w:pPr>
        <w:pStyle w:val="FirstParagraph"/>
      </w:pPr>
      <w:r>
        <w:t xml:space="preserve">В ходе работы были настроены расширенные списки управления доступом, обеспечивающие разграничение прав пользователей в сети. Реализованы правила фильтрации по протоколам и портам, а также обеспечена изоляция сетей и предоставление административных привилегий только одному устройству.</w:t>
      </w:r>
    </w:p>
    <w:bookmarkEnd w:id="102"/>
    <w:bookmarkEnd w:id="103"/>
    <w:bookmarkStart w:id="110" w:name="ответы-на-контрольные-вопросы"/>
    <w:p>
      <w:pPr>
        <w:pStyle w:val="Heading1"/>
      </w:pPr>
      <w:r>
        <w:t xml:space="preserve">3. Ответы на контрольные вопросы</w:t>
      </w:r>
    </w:p>
    <w:bookmarkStart w:id="104" w:name="X97d447ba77adb113f906b58438130b1a9cfe5a5"/>
    <w:p>
      <w:pPr>
        <w:pStyle w:val="Heading2"/>
      </w:pPr>
      <w:r>
        <w:t xml:space="preserve">3.1 Как задать действие правила для конкретного протокола?</w:t>
      </w:r>
    </w:p>
    <w:p>
      <w:pPr>
        <w:pStyle w:val="FirstParagraph"/>
      </w:pPr>
      <w:r>
        <w:t xml:space="preserve">Действие правила для конкретного протокола задаётся при создании записи в расширенном ACL с указанием типа протокола в команде.</w:t>
      </w:r>
    </w:p>
    <w:p>
      <w:pPr>
        <w:pStyle w:val="BodyText"/>
      </w:pPr>
      <w:r>
        <w:t xml:space="preserve">Общий синтаксис:</w:t>
      </w:r>
    </w:p>
    <w:p>
      <w:pPr>
        <w:pStyle w:val="SourceCode"/>
      </w:pPr>
      <w:r>
        <w:rPr>
          <w:rStyle w:val="ExtensionTok"/>
        </w:rPr>
        <w:t xml:space="preserve">permit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deny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protocol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ExtensionTok"/>
        </w:rPr>
        <w:t xml:space="preserve">permit</w:t>
      </w:r>
      <w:r>
        <w:rPr>
          <w:rStyle w:val="NormalTok"/>
        </w:rPr>
        <w:t xml:space="preserve"> tcp any host 10.128.0.2 eq 80</w:t>
      </w:r>
    </w:p>
    <w:p>
      <w:pPr>
        <w:pStyle w:val="FirstParagraph"/>
      </w:pPr>
      <w:r>
        <w:t xml:space="preserve">Здесь: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tcp</w:t>
      </w:r>
      <w:r>
        <w:t xml:space="preserve"> </w:t>
      </w:r>
      <w:r>
        <w:t xml:space="preserve">— указание конкретного протокола,</w:t>
      </w:r>
    </w:p>
    <w:p>
      <w:pPr>
        <w:pStyle w:val="Compact"/>
        <w:numPr>
          <w:ilvl w:val="0"/>
          <w:numId w:val="1001"/>
        </w:numPr>
      </w:pPr>
      <w:r>
        <w:t xml:space="preserve">правило применяется только к TCP-трафику.</w:t>
      </w:r>
    </w:p>
    <w:p>
      <w:pPr>
        <w:pStyle w:val="FirstParagraph"/>
      </w:pPr>
      <w:r>
        <w:t xml:space="preserve">Аналогично можно использовать: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udp</w:t>
      </w:r>
      <w:r>
        <w:t xml:space="preserve"> </w:t>
      </w:r>
      <w:r>
        <w:t xml:space="preserve">— для UDP,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icmp</w:t>
      </w:r>
      <w:r>
        <w:t xml:space="preserve"> </w:t>
      </w:r>
      <w:r>
        <w:t xml:space="preserve">— для ICMP,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ip</w:t>
      </w:r>
      <w:r>
        <w:t xml:space="preserve"> </w:t>
      </w:r>
      <w:r>
        <w:t xml:space="preserve">— для всех протоколов IP.</w:t>
      </w:r>
    </w:p>
    <w:bookmarkEnd w:id="104"/>
    <w:bookmarkStart w:id="105" w:name="Xb90030718414e450dfbb37be117b20941635e56"/>
    <w:p>
      <w:pPr>
        <w:pStyle w:val="Heading2"/>
      </w:pPr>
      <w:r>
        <w:t xml:space="preserve">3.2 Как задать действие правила сразу для нескольких портов?</w:t>
      </w:r>
    </w:p>
    <w:p>
      <w:pPr>
        <w:pStyle w:val="FirstParagraph"/>
      </w:pPr>
      <w:r>
        <w:t xml:space="preserve">Для задания действия сразу для нескольких портов используются ключевые слова: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range</w:t>
      </w:r>
      <w:r>
        <w:t xml:space="preserve"> </w:t>
      </w:r>
      <w:r>
        <w:t xml:space="preserve">— диапазон портов,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eq</w:t>
      </w:r>
      <w:r>
        <w:t xml:space="preserve"> </w:t>
      </w:r>
      <w:r>
        <w:t xml:space="preserve">— один порт,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lt</w:t>
      </w:r>
      <w:r>
        <w:t xml:space="preserve"> </w:t>
      </w:r>
      <w:r>
        <w:t xml:space="preserve">— больше/меньше указанного порта.</w:t>
      </w:r>
    </w:p>
    <w:p>
      <w:pPr>
        <w:pStyle w:val="FirstParagraph"/>
      </w:pPr>
      <w:r>
        <w:t xml:space="preserve">Пример для диапазона:</w:t>
      </w:r>
    </w:p>
    <w:p>
      <w:pPr>
        <w:pStyle w:val="SourceCode"/>
      </w:pPr>
      <w:r>
        <w:rPr>
          <w:rStyle w:val="ExtensionTok"/>
        </w:rPr>
        <w:t xml:space="preserve">permit</w:t>
      </w:r>
      <w:r>
        <w:rPr>
          <w:rStyle w:val="NormalTok"/>
        </w:rPr>
        <w:t xml:space="preserve"> tcp host 10.128.6.200 host 10.128.0.2 range 20 21</w:t>
      </w:r>
    </w:p>
    <w:p>
      <w:pPr>
        <w:pStyle w:val="FirstParagraph"/>
      </w:pPr>
      <w:r>
        <w:t xml:space="preserve">Здесь правило применяется сразу к портам:</w:t>
      </w:r>
    </w:p>
    <w:p>
      <w:pPr>
        <w:pStyle w:val="Compact"/>
        <w:numPr>
          <w:ilvl w:val="0"/>
          <w:numId w:val="1004"/>
        </w:numPr>
      </w:pPr>
      <w:r>
        <w:t xml:space="preserve">20</w:t>
      </w:r>
    </w:p>
    <w:p>
      <w:pPr>
        <w:pStyle w:val="Compact"/>
        <w:numPr>
          <w:ilvl w:val="0"/>
          <w:numId w:val="1004"/>
        </w:numPr>
      </w:pPr>
      <w:r>
        <w:t xml:space="preserve">21</w:t>
      </w:r>
    </w:p>
    <w:p>
      <w:pPr>
        <w:pStyle w:val="FirstParagraph"/>
      </w:pPr>
      <w:r>
        <w:t xml:space="preserve">Пример для одного порта:</w:t>
      </w:r>
    </w:p>
    <w:p>
      <w:pPr>
        <w:pStyle w:val="SourceCode"/>
      </w:pPr>
      <w:r>
        <w:rPr>
          <w:rStyle w:val="ExtensionTok"/>
        </w:rPr>
        <w:t xml:space="preserve">permit</w:t>
      </w:r>
      <w:r>
        <w:rPr>
          <w:rStyle w:val="NormalTok"/>
        </w:rPr>
        <w:t xml:space="preserve"> tcp any host 10.128.0.4 eq 25</w:t>
      </w:r>
    </w:p>
    <w:bookmarkEnd w:id="105"/>
    <w:bookmarkStart w:id="106" w:name="Xab6c393c15b46ce4ec1b8ab5d3813e06cbbcb1c"/>
    <w:p>
      <w:pPr>
        <w:pStyle w:val="Heading2"/>
      </w:pPr>
      <w:r>
        <w:t xml:space="preserve">3.3 Как узнать номер правила в списке прав доступа?</w:t>
      </w:r>
    </w:p>
    <w:p>
      <w:pPr>
        <w:pStyle w:val="FirstParagraph"/>
      </w:pPr>
      <w:r>
        <w:t xml:space="preserve">Номер правила отображается при выводе списка ACL с помощью команды:</w:t>
      </w:r>
    </w:p>
    <w:p>
      <w:pPr>
        <w:pStyle w:val="SourceCode"/>
      </w:pPr>
      <w:r>
        <w:rPr>
          <w:rStyle w:val="ExtensionTok"/>
        </w:rPr>
        <w:t xml:space="preserve">show</w:t>
      </w:r>
      <w:r>
        <w:rPr>
          <w:rStyle w:val="NormalTok"/>
        </w:rPr>
        <w:t xml:space="preserve"> access-lists</w:t>
      </w:r>
    </w:p>
    <w:p>
      <w:pPr>
        <w:pStyle w:val="FirstParagraph"/>
      </w:pPr>
      <w:r>
        <w:t xml:space="preserve">В выводе каждая строка имеет порядковый номер, например:</w:t>
      </w:r>
    </w:p>
    <w:p>
      <w:pPr>
        <w:pStyle w:val="SourceCode"/>
      </w:pPr>
      <w:r>
        <w:rPr>
          <w:rStyle w:val="VerbatimChar"/>
        </w:rPr>
        <w:t xml:space="preserve">10 permit tcp any host 10.128.0.2 eq 80</w:t>
      </w:r>
      <w:r>
        <w:br/>
      </w:r>
      <w:r>
        <w:rPr>
          <w:rStyle w:val="VerbatimChar"/>
        </w:rPr>
        <w:t xml:space="preserve">20 permit tcp any host 10.128.0.3 eq 445</w:t>
      </w:r>
    </w:p>
    <w:p>
      <w:pPr>
        <w:pStyle w:val="FirstParagraph"/>
      </w:pPr>
      <w:r>
        <w:t xml:space="preserve">Эти номера используются для:</w:t>
      </w:r>
    </w:p>
    <w:p>
      <w:pPr>
        <w:pStyle w:val="Compact"/>
        <w:numPr>
          <w:ilvl w:val="0"/>
          <w:numId w:val="1005"/>
        </w:numPr>
      </w:pPr>
      <w:r>
        <w:t xml:space="preserve">идентификации правил,</w:t>
      </w:r>
    </w:p>
    <w:p>
      <w:pPr>
        <w:pStyle w:val="Compact"/>
        <w:numPr>
          <w:ilvl w:val="0"/>
          <w:numId w:val="1005"/>
        </w:numPr>
      </w:pPr>
      <w:r>
        <w:t xml:space="preserve">изменения или удаления конкретного правила.</w:t>
      </w:r>
    </w:p>
    <w:bookmarkEnd w:id="106"/>
    <w:bookmarkStart w:id="109" w:name="Xa572443914be23fbabd41f3d6acb9228be07aed"/>
    <w:p>
      <w:pPr>
        <w:pStyle w:val="Heading2"/>
      </w:pPr>
      <w:r>
        <w:t xml:space="preserve">3.4 Каким образом можно изменить порядок применения правил в списке контроля доступа?</w:t>
      </w:r>
    </w:p>
    <w:p>
      <w:pPr>
        <w:pStyle w:val="FirstParagraph"/>
      </w:pPr>
      <w:r>
        <w:t xml:space="preserve">Порядок применения правил определяется их номерами и обрабатывается сверху вниз до первого совпадения.</w:t>
      </w:r>
    </w:p>
    <w:p>
      <w:pPr>
        <w:pStyle w:val="BodyText"/>
      </w:pPr>
      <w:r>
        <w:t xml:space="preserve">Изменение порядка возможно следующими способами:</w:t>
      </w:r>
    </w:p>
    <w:bookmarkStart w:id="107" w:name="добавление-правила-с-указанием-номера"/>
    <w:p>
      <w:pPr>
        <w:pStyle w:val="Heading3"/>
      </w:pPr>
      <w:r>
        <w:t xml:space="preserve">3.4.1 Добавление правила с указанием номера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access-list extended servers-out</w:t>
      </w:r>
      <w:r>
        <w:br/>
      </w:r>
      <w:r>
        <w:rPr>
          <w:rStyle w:val="ExtensionTok"/>
        </w:rPr>
        <w:t xml:space="preserve">5</w:t>
      </w:r>
      <w:r>
        <w:rPr>
          <w:rStyle w:val="NormalTok"/>
        </w:rPr>
        <w:t xml:space="preserve"> permit icmp any any</w:t>
      </w:r>
    </w:p>
    <w:p>
      <w:pPr>
        <w:pStyle w:val="FirstParagraph"/>
      </w:pPr>
      <w:r>
        <w:t xml:space="preserve">Правило с номером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будет размещено выше правил с номерами</w:t>
      </w:r>
      <w:r>
        <w:t xml:space="preserve"> </w:t>
      </w:r>
      <w:r>
        <w:rPr>
          <w:rStyle w:val="VerbatimChar"/>
        </w:rPr>
        <w:t xml:space="preserve">10</w:t>
      </w:r>
      <w:r>
        <w:t xml:space="preserve">,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и т.д.</w:t>
      </w:r>
    </w:p>
    <w:bookmarkEnd w:id="107"/>
    <w:bookmarkStart w:id="108" w:name="удаление-и-повторное-добавление"/>
    <w:p>
      <w:pPr>
        <w:pStyle w:val="Heading3"/>
      </w:pPr>
      <w:r>
        <w:t xml:space="preserve">3.4.2 Удаление и повторное добавление</w:t>
      </w:r>
    </w:p>
    <w:p>
      <w:pPr>
        <w:pStyle w:val="SourceCode"/>
      </w:pPr>
      <w:r>
        <w:rPr>
          <w:rStyle w:val="ExtensionTok"/>
        </w:rPr>
        <w:t xml:space="preserve">no</w:t>
      </w:r>
      <w:r>
        <w:rPr>
          <w:rStyle w:val="NormalTok"/>
        </w:rPr>
        <w:t xml:space="preserve"> 20</w:t>
      </w:r>
      <w:r>
        <w:br/>
      </w:r>
      <w:r>
        <w:rPr>
          <w:rStyle w:val="ExtensionTok"/>
        </w:rPr>
        <w:t xml:space="preserve">20</w:t>
      </w:r>
      <w:r>
        <w:rPr>
          <w:rStyle w:val="NormalTok"/>
        </w:rPr>
        <w:t xml:space="preserve"> permit tcp any host 10.128.0.2 eq 80</w:t>
      </w:r>
    </w:p>
    <w:bookmarkEnd w:id="108"/>
    <w:bookmarkEnd w:id="109"/>
    <w:bookmarkEnd w:id="110"/>
    <w:bookmarkStart w:id="118" w:name="список-литературы"/>
    <w:p>
      <w:pPr>
        <w:pStyle w:val="Heading1"/>
      </w:pPr>
      <w:r>
        <w:t xml:space="preserve">Список литературы</w:t>
      </w:r>
    </w:p>
    <w:bookmarkStart w:id="117" w:name="refs"/>
    <w:bookmarkStart w:id="111" w:name="ref-tetz2011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Tetz E. Cisco Networking All-in-One For Dummies. John Wiley &amp; Sons, 2011.</w:t>
      </w:r>
    </w:p>
    <w:bookmarkEnd w:id="111"/>
    <w:bookmarkStart w:id="112" w:name="ref-odom2017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Одом У. CCENT/CCNA ICND1 100-101. Вильямс, 2017.</w:t>
      </w:r>
    </w:p>
    <w:bookmarkEnd w:id="112"/>
    <w:bookmarkStart w:id="113" w:name="ref-tanenbaum2016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Таненбаум Э., Уэзеролл Д. Компьютерные сети. Питер, 2016.</w:t>
      </w:r>
    </w:p>
    <w:bookmarkEnd w:id="113"/>
    <w:bookmarkStart w:id="114" w:name="ref-odom2016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Одом У. CCNA ICND2 200-101. Вильямс, 2016.</w:t>
      </w:r>
    </w:p>
    <w:bookmarkEnd w:id="114"/>
    <w:bookmarkStart w:id="116" w:name="ref-rfc2131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Droms R.</w:t>
      </w:r>
      <w:r>
        <w:t xml:space="preserve"> </w:t>
      </w:r>
      <w:hyperlink r:id="rId115">
        <w:r>
          <w:rPr>
            <w:rStyle w:val="Hyperlink"/>
          </w:rPr>
          <w:t xml:space="preserve">Dynamic Host Configuration Protocol</w:t>
        </w:r>
      </w:hyperlink>
      <w:r>
        <w:t xml:space="preserve">: 2131. RFC Editor, 1997.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hyperlink" Id="rId76" Target="http://www.donskaya.rudn.ru" TargetMode="External" /><Relationship Type="http://schemas.openxmlformats.org/officeDocument/2006/relationships/hyperlink" Id="rId115" Target="https://doi.org/10.17487/rfc213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://www.donskaya.rudn.ru" TargetMode="External" /><Relationship Type="http://schemas.openxmlformats.org/officeDocument/2006/relationships/hyperlink" Id="rId115" Target="https://doi.org/10.17487/rfc213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бахи сиди али темассини</dc:creator>
  <dc:language>ru-RU</dc:language>
  <cp:keywords/>
  <dcterms:created xsi:type="dcterms:W3CDTF">2026-04-18T14:34:49Z</dcterms:created>
  <dcterms:modified xsi:type="dcterms:W3CDTF">2026-04-18T14:34:49Z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Администрирование локальных сетей</vt:lpwstr>
  </property>
  <property fmtid="{D5CDD505-2E9C-101B-9397-08002B2CF9AE}" pid="16" name="toc-title">
    <vt:lpwstr>Содержание</vt:lpwstr>
  </property>
</Properties>
</file>