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динамическую маршрутизацию между территориями организации.</w:t>
      </w:r>
    </w:p>
    <w:bookmarkEnd w:id="20"/>
    <w:bookmarkStart w:id="5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7" w:name="X083860ce3ef629cc2a7bf59c5e2e69763182638"/>
    <w:p>
      <w:pPr>
        <w:pStyle w:val="Heading2"/>
      </w:pPr>
      <w:r>
        <w:t xml:space="preserve">2.1 Настройка OSPF-маршрутизации и VLAN сети провайдера</w:t>
      </w:r>
    </w:p>
    <w:p>
      <w:pPr>
        <w:pStyle w:val="FirstParagraph"/>
      </w:pPr>
      <w:r>
        <w:t xml:space="preserve">На маршрутизаторе сети «Донская» был включён процесс динамической маршрутизации OSPF с идентификатором процесса 1. Для маршрутизатора был задан Router ID</w:t>
      </w:r>
      <w:r>
        <w:t xml:space="preserve"> </w:t>
      </w:r>
      <w:r>
        <w:rPr>
          <w:rStyle w:val="VerbatimChar"/>
        </w:rPr>
        <w:t xml:space="preserve">10.128.254.1</w:t>
      </w:r>
      <w:r>
        <w:t xml:space="preserve">, а все сети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были добавлены в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Настройка выполнена в соответствии с принципами протокола OSPF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3545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OSPF на маршрутизаторе сети «Донская»</w:t>
            </w:r>
          </w:p>
          <w:bookmarkEnd w:id="24"/>
        </w:tc>
      </w:tr>
    </w:tbl>
    <w:p>
      <w:pPr>
        <w:pStyle w:val="BodyText"/>
      </w:pPr>
      <w:r>
        <w:t xml:space="preserve">После настройки был выполнен анализ состояния OSPF. Команда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 </w:t>
      </w:r>
      <w:r>
        <w:t xml:space="preserve">подтвердила запуск процесса OSPF с Router ID</w:t>
      </w:r>
      <w:r>
        <w:t xml:space="preserve"> </w:t>
      </w:r>
      <w:r>
        <w:rPr>
          <w:rStyle w:val="VerbatimChar"/>
        </w:rPr>
        <w:t xml:space="preserve">10.128.254.1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показала наличие подключённых и статических маршрутов, включая сеть филиала Сочи</w:t>
      </w:r>
      <w:r>
        <w:t xml:space="preserve"> </w:t>
      </w:r>
      <w:r>
        <w:rPr>
          <w:rStyle w:val="VerbatimChar"/>
        </w:rPr>
        <w:t xml:space="preserve">10.130.0.0/16</w:t>
      </w:r>
      <w:r>
        <w:t xml:space="preserve">, доступную через интерфейс</w:t>
      </w:r>
      <w:r>
        <w:t xml:space="preserve"> </w:t>
      </w:r>
      <w:r>
        <w:rPr>
          <w:rStyle w:val="VerbatimChar"/>
        </w:rPr>
        <w:t xml:space="preserve">FastEthernet0/1.6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[3]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39715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1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состояния OSPF и таблицы маршрутизации</w:t>
            </w:r>
          </w:p>
          <w:bookmarkEnd w:id="28"/>
        </w:tc>
      </w:tr>
    </w:tbl>
    <w:p>
      <w:pPr>
        <w:pStyle w:val="BodyText"/>
      </w:pPr>
      <w:r>
        <w:t xml:space="preserve">На маршрутизаторе сети 42-го квартала был настроен процесс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10.128.254.2</w:t>
      </w:r>
      <w:r>
        <w:t xml:space="preserve">. Все сети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были добавлены в магистральную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112310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3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OSPF на маршрутизаторе сети 42-го квартала</w:t>
            </w:r>
          </w:p>
          <w:bookmarkEnd w:id="32"/>
        </w:tc>
      </w:tr>
    </w:tbl>
    <w:p>
      <w:pPr>
        <w:pStyle w:val="BodyText"/>
      </w:pPr>
      <w:r>
        <w:t xml:space="preserve">На маршрутизаторе сети общежития также был включён процесс OSPF. Для устройства был назначен Router ID</w:t>
      </w:r>
      <w:r>
        <w:t xml:space="preserve"> </w:t>
      </w:r>
      <w:r>
        <w:rPr>
          <w:rStyle w:val="VerbatimChar"/>
        </w:rPr>
        <w:t xml:space="preserve">10.128.254.3</w:t>
      </w:r>
      <w:r>
        <w:t xml:space="preserve">, после чего была выполнена публикация сетей диапазона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в область</w:t>
      </w:r>
      <w:r>
        <w:t xml:space="preserve"> </w:t>
      </w:r>
      <w:r>
        <w:rPr>
          <w:rStyle w:val="VerbatimChar"/>
        </w:rPr>
        <w:t xml:space="preserve">area 0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[5]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136167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1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OSPF на маршрутизаторе сети общежития</w:t>
            </w:r>
          </w:p>
          <w:bookmarkEnd w:id="36"/>
        </w:tc>
      </w:tr>
    </w:tbl>
    <w:p>
      <w:pPr>
        <w:pStyle w:val="BodyText"/>
      </w:pPr>
      <w:r>
        <w:t xml:space="preserve">На маршрутизаторе филиала в Сочи был настроен OSPF-процесс с Router ID</w:t>
      </w:r>
      <w:r>
        <w:t xml:space="preserve"> </w:t>
      </w:r>
      <w:r>
        <w:rPr>
          <w:rStyle w:val="VerbatimChar"/>
        </w:rPr>
        <w:t xml:space="preserve">10.128.254.4</w:t>
      </w:r>
      <w:r>
        <w:t xml:space="preserve">. В конфигурацию OSPF были добавлены все локальные сети маршрутизатора посредством команды</w:t>
      </w:r>
      <w:r>
        <w:t xml:space="preserve"> </w:t>
      </w:r>
      <w:r>
        <w:rPr>
          <w:rStyle w:val="VerbatimChar"/>
        </w:rPr>
        <w:t xml:space="preserve">network 10.0.0.0 0.255.255.255 area 0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5"/>
          <w:p>
            <w:pPr>
              <w:pStyle w:val="Compact"/>
              <w:jc w:val="center"/>
            </w:pPr>
            <w:r>
              <w:drawing>
                <wp:inline>
                  <wp:extent cx="3733800" cy="152371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OSPF на маршрутизаторе филиала в Сочи</w:t>
            </w:r>
          </w:p>
          <w:bookmarkEnd w:id="40"/>
        </w:tc>
      </w:tr>
    </w:tbl>
    <w:p>
      <w:pPr>
        <w:pStyle w:val="BodyText"/>
      </w:pPr>
      <w:r>
        <w:t xml:space="preserve">На коммутаторе сети провайдера был создан VLAN 7 с именем</w:t>
      </w:r>
      <w:r>
        <w:t xml:space="preserve"> </w:t>
      </w:r>
      <w:r>
        <w:rPr>
          <w:rStyle w:val="VerbatimChar"/>
        </w:rPr>
        <w:t xml:space="preserve">q42-sochi</w:t>
      </w:r>
      <w:r>
        <w:t xml:space="preserve">. После создания VLAN был активирован интерфейс</w:t>
      </w:r>
      <w:r>
        <w:t xml:space="preserve"> </w:t>
      </w:r>
      <w:r>
        <w:rPr>
          <w:rStyle w:val="VerbatimChar"/>
        </w:rPr>
        <w:t xml:space="preserve">Vlan7</w:t>
      </w:r>
      <w:r>
        <w:t xml:space="preserve">, что обеспечило работу виртуального интерфейса сети провайдера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6"/>
          <w:p>
            <w:pPr>
              <w:pStyle w:val="Compact"/>
              <w:jc w:val="center"/>
            </w:pPr>
            <w:r>
              <w:drawing>
                <wp:inline>
                  <wp:extent cx="3733800" cy="157212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2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VLAN 7 на коммутаторе провайдера</w:t>
            </w:r>
          </w:p>
          <w:bookmarkEnd w:id="44"/>
        </w:tc>
      </w:tr>
    </w:tbl>
    <w:p>
      <w:pPr>
        <w:pStyle w:val="BodyText"/>
      </w:pPr>
      <w:r>
        <w:t xml:space="preserve">На маршрутизаторе сети 42-го квартала был создан подинтерфейс</w:t>
      </w:r>
      <w:r>
        <w:t xml:space="preserve"> </w:t>
      </w:r>
      <w:r>
        <w:rPr>
          <w:rStyle w:val="VerbatimChar"/>
        </w:rPr>
        <w:t xml:space="preserve">FastEthernet0/1.7</w:t>
      </w:r>
      <w:r>
        <w:t xml:space="preserve"> </w:t>
      </w:r>
      <w:r>
        <w:t xml:space="preserve">с инкапсуляцией IEEE 802.1Q для VLAN 7. Подинтерфейсу был назначен IP-адрес</w:t>
      </w:r>
      <w:r>
        <w:t xml:space="preserve"> </w:t>
      </w:r>
      <w:r>
        <w:rPr>
          <w:rStyle w:val="VerbatimChar"/>
        </w:rPr>
        <w:t xml:space="preserve">10.128.255.9/30</w:t>
      </w:r>
      <w:r>
        <w:t xml:space="preserve">, а также задано описание</w:t>
      </w:r>
      <w:r>
        <w:t xml:space="preserve"> </w:t>
      </w:r>
      <w:r>
        <w:rPr>
          <w:rStyle w:val="VerbatimChar"/>
        </w:rPr>
        <w:t xml:space="preserve">sochi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[7]</w:t>
      </w:r>
      <w:r>
        <w:t xml:space="preserve"> </w:t>
      </w:r>
      <w:r>
        <w:t xml:space="preserve">[9]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7"/>
          <w:p>
            <w:pPr>
              <w:pStyle w:val="Compact"/>
              <w:jc w:val="center"/>
            </w:pPr>
            <w:r>
              <w:drawing>
                <wp:inline>
                  <wp:extent cx="3733800" cy="85611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6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подинтерфейса VLAN 7 на маршрутизаторе 42-го квартала</w:t>
            </w:r>
          </w:p>
          <w:bookmarkEnd w:id="48"/>
        </w:tc>
      </w:tr>
    </w:tbl>
    <w:p>
      <w:pPr>
        <w:pStyle w:val="BodyText"/>
      </w:pPr>
      <w:r>
        <w:t xml:space="preserve">На коммутаторе филиала в Сочи был создан VLAN 7 с именем</w:t>
      </w:r>
      <w:r>
        <w:t xml:space="preserve"> </w:t>
      </w:r>
      <w:r>
        <w:rPr>
          <w:rStyle w:val="VerbatimChar"/>
        </w:rPr>
        <w:t xml:space="preserve">q42-sochi</w:t>
      </w:r>
      <w:r>
        <w:t xml:space="preserve">. После создания VLAN был активирован виртуальный интерфейс</w:t>
      </w:r>
      <w:r>
        <w:t xml:space="preserve"> </w:t>
      </w:r>
      <w:r>
        <w:rPr>
          <w:rStyle w:val="VerbatimChar"/>
        </w:rPr>
        <w:t xml:space="preserve">Vlan7</w:t>
      </w:r>
      <w:r>
        <w:t xml:space="preserve">, что обеспечило его переход в рабочее состояние (</w:t>
      </w:r>
      <w:r>
        <w:rPr>
          <w:rStyle w:val="VerbatimChar"/>
        </w:rPr>
        <w:t xml:space="preserve">up/up</w:t>
      </w:r>
      <w:r>
        <w:t xml:space="preserve">)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Настройка выполнена для организации взаимодействия между сетью филиала и сетью 42-го квартала</w:t>
      </w:r>
      <w:r>
        <w:t xml:space="preserve"> </w:t>
      </w:r>
      <w:r>
        <w:t xml:space="preserve">[7]</w:t>
      </w:r>
      <w:r>
        <w:t xml:space="preserve"> </w:t>
      </w:r>
      <w:r>
        <w:t xml:space="preserve">[8]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8"/>
          <w:p>
            <w:pPr>
              <w:pStyle w:val="Compact"/>
              <w:jc w:val="center"/>
            </w:pPr>
            <w:r>
              <w:drawing>
                <wp:inline>
                  <wp:extent cx="3733800" cy="155759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VLAN 7 на коммутаторе филиала в Сочи</w:t>
            </w:r>
          </w:p>
          <w:bookmarkEnd w:id="52"/>
        </w:tc>
      </w:tr>
    </w:tbl>
    <w:p>
      <w:pPr>
        <w:pStyle w:val="BodyText"/>
      </w:pPr>
      <w:r>
        <w:t xml:space="preserve">На маршрутизаторе филиала в Сочи был настроен процесс динамической маршрутизации OSPF с идентификатором маршрутизатора</w:t>
      </w:r>
      <w:r>
        <w:t xml:space="preserve"> </w:t>
      </w:r>
      <w:r>
        <w:rPr>
          <w:rStyle w:val="VerbatimChar"/>
        </w:rPr>
        <w:t xml:space="preserve">10.128.254.4</w:t>
      </w:r>
      <w:r>
        <w:t xml:space="preserve">. После этого был создан подинтерфейс</w:t>
      </w:r>
      <w:r>
        <w:t xml:space="preserve"> </w:t>
      </w:r>
      <w:r>
        <w:rPr>
          <w:rStyle w:val="VerbatimChar"/>
        </w:rPr>
        <w:t xml:space="preserve">FastEthernet0/0.7</w:t>
      </w:r>
      <w:r>
        <w:t xml:space="preserve"> </w:t>
      </w:r>
      <w:r>
        <w:t xml:space="preserve">с инкапсуляцией IEEE 802.1Q для VLAN 7. Подинтерфейсу был назначен IP-адрес</w:t>
      </w:r>
      <w:r>
        <w:t xml:space="preserve"> </w:t>
      </w:r>
      <w:r>
        <w:rPr>
          <w:rStyle w:val="VerbatimChar"/>
        </w:rPr>
        <w:t xml:space="preserve">10.128.255.10/30</w:t>
      </w:r>
      <w:r>
        <w:t xml:space="preserve"> </w:t>
      </w:r>
      <w:r>
        <w:t xml:space="preserve">и задано описание</w:t>
      </w:r>
      <w:r>
        <w:t xml:space="preserve"> </w:t>
      </w:r>
      <w:r>
        <w:rPr>
          <w:rStyle w:val="VerbatimChar"/>
        </w:rPr>
        <w:t xml:space="preserve">q42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[1]</w:t>
      </w:r>
      <w:r>
        <w:t xml:space="preserve"> </w:t>
      </w:r>
      <w:r>
        <w:t xml:space="preserve">[7]</w:t>
      </w:r>
      <w:r>
        <w:t xml:space="preserve"> </w:t>
      </w:r>
      <w:r>
        <w:t xml:space="preserve">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9"/>
          <w:p>
            <w:pPr>
              <w:pStyle w:val="Compact"/>
              <w:jc w:val="center"/>
            </w:pPr>
            <w:r>
              <w:drawing>
                <wp:inline>
                  <wp:extent cx="3733800" cy="52659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OSPF и подинтерфейса VLAN 7 на маршрутизаторе филиала в Сочи</w:t>
            </w:r>
          </w:p>
          <w:bookmarkEnd w:id="56"/>
        </w:tc>
      </w:tr>
    </w:tbl>
    <w:bookmarkEnd w:id="57"/>
    <w:bookmarkEnd w:id="58"/>
    <w:bookmarkStart w:id="5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была выполнена настройка протокола динамической маршрутизации OSPF на маршрутизаторах сети организации и филиала в Сочи. Также была произведена настройка VLAN 7 сети провайдера и соответствующего подинтерфейса маршрутизатора с использованием инкапсуляции IEEE 802.1Q. Полученные результаты подтвердили корректную работу маршрутизации и взаимодействия между сегментами сети.</w:t>
      </w:r>
    </w:p>
    <w:bookmarkEnd w:id="59"/>
    <w:bookmarkStart w:id="64" w:name="контрольные-вопросы"/>
    <w:p>
      <w:pPr>
        <w:pStyle w:val="Heading1"/>
      </w:pPr>
      <w:r>
        <w:t xml:space="preserve">4. Контрольные вопросы</w:t>
      </w:r>
    </w:p>
    <w:bookmarkStart w:id="60" w:name="X1ec78c4cb2cc129a8529b1e363760dc0b3197d6"/>
    <w:p>
      <w:pPr>
        <w:pStyle w:val="Heading2"/>
      </w:pPr>
      <w:r>
        <w:t xml:space="preserve">4.1 Какие протоколы относятся к протоколам динамической маршрутизации?</w:t>
      </w:r>
    </w:p>
    <w:p>
      <w:pPr>
        <w:pStyle w:val="FirstParagraph"/>
      </w:pPr>
      <w:r>
        <w:t xml:space="preserve">К протоколам динамической маршрутизации относятся RIP, OSPF, EIGRP и IS-IS. Данные протоколы обеспечивают автоматическое построение и обновление таблиц маршрутизации между маршрутизаторами сети</w:t>
      </w:r>
      <w:r>
        <w:t xml:space="preserve"> </w:t>
      </w:r>
      <w:r>
        <w:t xml:space="preserve">[1]</w:t>
      </w:r>
      <w:r>
        <w:t xml:space="preserve"> </w:t>
      </w:r>
      <w:r>
        <w:t xml:space="preserve">[2]</w:t>
      </w:r>
      <w:r>
        <w:t xml:space="preserve">.</w:t>
      </w:r>
    </w:p>
    <w:bookmarkEnd w:id="60"/>
    <w:bookmarkStart w:id="61" w:name="X22cd9170790d7ef827efec65b19a64c0a992dcc"/>
    <w:p>
      <w:pPr>
        <w:pStyle w:val="Heading2"/>
      </w:pPr>
      <w:r>
        <w:t xml:space="preserve">4.2 Охарактеризуйте принципы работы протоколов динамической маршрутизации.</w:t>
      </w:r>
    </w:p>
    <w:p>
      <w:pPr>
        <w:pStyle w:val="FirstParagraph"/>
      </w:pPr>
      <w:r>
        <w:t xml:space="preserve">Протоколы динамической маршрутизации автоматически обмениваются информацией о сетях между маршрутизаторами. На основе полученных данных маршрутизатор вычисляет оптимальный путь передачи пакетов и формирует таблицу маршрутизации. При изменении топологии сети маршруты автоматически пересчитываются без ручной настройки администратора</w:t>
      </w:r>
      <w:r>
        <w:t xml:space="preserve"> </w:t>
      </w:r>
      <w:r>
        <w:t xml:space="preserve">[6]</w:t>
      </w:r>
      <w:r>
        <w:t xml:space="preserve"> </w:t>
      </w:r>
      <w:r>
        <w:t xml:space="preserve">[3]</w:t>
      </w:r>
      <w:r>
        <w:t xml:space="preserve">.</w:t>
      </w:r>
    </w:p>
    <w:bookmarkEnd w:id="61"/>
    <w:bookmarkStart w:id="62" w:name="Xa043db359354a7ddc5fed3d6f682da03e79f9cf"/>
    <w:p>
      <w:pPr>
        <w:pStyle w:val="Heading2"/>
      </w:pPr>
      <w:r>
        <w:t xml:space="preserve">4.3 Опишите процесс обращения устройства из одной подсети к устройству из другой подсети по протоколу динамической маршрутизации.</w:t>
      </w:r>
    </w:p>
    <w:p>
      <w:pPr>
        <w:pStyle w:val="FirstParagraph"/>
      </w:pPr>
      <w:r>
        <w:t xml:space="preserve">При обращении устройства к узлу из другой подсети пакет отправляется на шлюз по умолчанию. Маршрутизатор анализирует таблицу маршрутизации и определяет следующий узел передачи согласно динамически полученным маршрутам. Далее пакет последовательно передаётся между маршрутизаторами сети до достижения конечного получателя</w:t>
      </w:r>
      <w:r>
        <w:t xml:space="preserve"> </w:t>
      </w:r>
      <w:r>
        <w:t xml:space="preserve">[1]</w:t>
      </w:r>
      <w:r>
        <w:t xml:space="preserve"> </w:t>
      </w:r>
      <w:r>
        <w:t xml:space="preserve">[4]</w:t>
      </w:r>
      <w:r>
        <w:t xml:space="preserve">.</w:t>
      </w:r>
    </w:p>
    <w:bookmarkEnd w:id="62"/>
    <w:bookmarkStart w:id="63" w:name="X876731b0a0e3109caea2e2732453a6b8c9b04eb"/>
    <w:p>
      <w:pPr>
        <w:pStyle w:val="Heading2"/>
      </w:pPr>
      <w:r>
        <w:t xml:space="preserve">4.4 Опишите выводимую информацию при просмотре таблицы маршрутизации.</w:t>
      </w:r>
    </w:p>
    <w:p>
      <w:pPr>
        <w:pStyle w:val="FirstParagraph"/>
      </w:pPr>
      <w:r>
        <w:t xml:space="preserve">Таблица маршрутизации содержит информацию о доступных сетях, типе маршрута, сетевом адресе, маске подсети, следующем узле передачи и интерфейсе отправки. Также указываются административное расстояние и метрика маршрута, используемые для выбора оптимального пути передачи данных</w:t>
      </w:r>
      <w:r>
        <w:t xml:space="preserve"> </w:t>
      </w:r>
      <w:r>
        <w:t xml:space="preserve">[2]</w:t>
      </w:r>
      <w:r>
        <w:t xml:space="preserve"> </w:t>
      </w:r>
      <w:r>
        <w:t xml:space="preserve">[10]</w:t>
      </w:r>
      <w:r>
        <w:t xml:space="preserve">.</w:t>
      </w:r>
    </w:p>
    <w:bookmarkEnd w:id="63"/>
    <w:bookmarkEnd w:id="64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66" w:name="ref-rfc232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65">
        <w:r>
          <w:rPr>
            <w:rStyle w:val="Hyperlink"/>
          </w:rPr>
          <w:t xml:space="preserve">OSPF Version 2</w:t>
        </w:r>
      </w:hyperlink>
      <w:r>
        <w:t xml:space="preserve">: 2328. RFC Editor, 1998.</w:t>
      </w:r>
    </w:p>
    <w:bookmarkEnd w:id="66"/>
    <w:bookmarkStart w:id="67" w:name="ref-odom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CCENT/CCNA ICND1 100-101. Москва: Вильямс, 2017.</w:t>
      </w:r>
    </w:p>
    <w:bookmarkEnd w:id="67"/>
    <w:bookmarkStart w:id="68" w:name="ref-tanenbaum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5-е изд. Санкт-Петербург: Питер, 2016.</w:t>
      </w:r>
    </w:p>
    <w:bookmarkEnd w:id="68"/>
    <w:bookmarkStart w:id="69" w:name="ref-odom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Одом У. Официальное руководство Cisco по подготовке к сертификационным экзаменам CCNA ICND2 200-101. Маршрутизация и коммутация. Москва: Вильямс, 2016.</w:t>
      </w:r>
    </w:p>
    <w:bookmarkEnd w:id="69"/>
    <w:bookmarkStart w:id="70" w:name="ref-korolkova2012lecture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Королькова А. В., Кулябов Д. С. Прикладные протоколы Интернет и WWW. Курс лекций. Москва: РУДН, 2012.</w:t>
      </w:r>
    </w:p>
    <w:bookmarkEnd w:id="70"/>
    <w:bookmarkStart w:id="71" w:name="ref-kurose2016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Куроуз Д. Ф., Росс К. В. Компьютерные сети. Нисходящий подход. 6-е изд. Москва: Издательство Э, 2016.</w:t>
      </w:r>
    </w:p>
    <w:bookmarkEnd w:id="71"/>
    <w:bookmarkStart w:id="73" w:name="ref-ieee8021q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hyperlink r:id="rId72">
        <w:r>
          <w:rPr>
            <w:rStyle w:val="Hyperlink"/>
          </w:rPr>
          <w:t xml:space="preserve">802.1Q - Virtual LANs</w:t>
        </w:r>
      </w:hyperlink>
      <w:r>
        <w:t xml:space="preserve">. IEEE.</w:t>
      </w:r>
    </w:p>
    <w:bookmarkEnd w:id="73"/>
    <w:bookmarkStart w:id="74" w:name="ref-clark2003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Кларк К., Гамильтон К. Принципы коммутации в локальных сетях Cisco. Москва: Вильямс, 2003.</w:t>
      </w:r>
    </w:p>
    <w:bookmarkEnd w:id="74"/>
    <w:bookmarkStart w:id="76" w:name="ref-odom2001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Odom S., Nottingham H.</w:t>
      </w:r>
      <w:r>
        <w:t xml:space="preserve"> </w:t>
      </w:r>
      <w:hyperlink r:id="rId75">
        <w:r>
          <w:rPr>
            <w:rStyle w:val="Hyperlink"/>
          </w:rPr>
          <w:t xml:space="preserve">Cisco Switching: Black Book</w:t>
        </w:r>
      </w:hyperlink>
      <w:r>
        <w:t xml:space="preserve">. The Coriolis Group, 2001.</w:t>
      </w:r>
    </w:p>
    <w:bookmarkEnd w:id="76"/>
    <w:bookmarkStart w:id="77" w:name="ref-olifer2017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Олифер В. Г., Олифер Н. А. Компьютерные сети. Принципы, технологии, протоколы. 5-е изд. Санкт-Петербург: Питер, 2017.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75" Target="http://books.google.sk/books?id=GYsLAAAACAAJ" TargetMode="External" /><Relationship Type="http://schemas.openxmlformats.org/officeDocument/2006/relationships/hyperlink" Id="rId72" Target="http://www.ieee802.org/1/pages/802.1Q.html" TargetMode="External" /><Relationship Type="http://schemas.openxmlformats.org/officeDocument/2006/relationships/hyperlink" Id="rId65" Target="https://doi.org/10.17487/RFC2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://books.google.sk/books?id=GYsLAAAACAAJ" TargetMode="External" /><Relationship Type="http://schemas.openxmlformats.org/officeDocument/2006/relationships/hyperlink" Id="rId72" Target="http://www.ieee802.org/1/pages/802.1Q.html" TargetMode="External" /><Relationship Type="http://schemas.openxmlformats.org/officeDocument/2006/relationships/hyperlink" Id="rId65" Target="https://doi.org/10.17487/RFC2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бахи сиди али темассини</dc:creator>
  <dc:language>ru-RU</dc:language>
  <cp:keywords/>
  <dcterms:created xsi:type="dcterms:W3CDTF">2026-05-23T16:44:58Z</dcterms:created>
  <dcterms:modified xsi:type="dcterms:W3CDTF">2026-05-23T16:44:58Z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