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6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6.png" ContentType="image/png"/>
  <Override PartName="/word/media/rId41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физической рабочей областью Packet Tracer, а также учесть физические параметры сети</w:t>
      </w:r>
      <w:r>
        <w:t xml:space="preserve"> </w:t>
      </w:r>
      <w:r>
        <w:t xml:space="preserve">[</w:t>
      </w:r>
      <w:r>
        <w:rPr>
          <w:b/>
          <w:bCs/>
        </w:rPr>
        <w:t xml:space="preserve">packettracer2014?</w:t>
      </w:r>
      <w:r>
        <w:t xml:space="preserve">]</w:t>
      </w:r>
      <w:r>
        <w:t xml:space="preserve">.</w:t>
      </w:r>
    </w:p>
    <w:bookmarkEnd w:id="20"/>
    <w:bookmarkStart w:id="9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создание-физической-структуры-сети"/>
    <w:p>
      <w:pPr>
        <w:pStyle w:val="Heading2"/>
      </w:pPr>
      <w:r>
        <w:t xml:space="preserve">2.1 Создание физической структуры сети</w:t>
      </w:r>
    </w:p>
    <w:p>
      <w:pPr>
        <w:pStyle w:val="Compact"/>
        <w:numPr>
          <w:ilvl w:val="0"/>
          <w:numId w:val="1001"/>
        </w:numPr>
      </w:pPr>
      <w:r>
        <w:t xml:space="preserve">На первом этапе выполнено создание физической структуры сети с указанием города Moscow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304745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7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Физическая область Packet Tracer с заданным городом Moscow</w:t>
            </w:r>
          </w:p>
          <w:bookmarkEnd w:id="24"/>
        </w:tc>
      </w:tr>
    </w:tbl>
    <w:bookmarkEnd w:id="25"/>
    <w:bookmarkStart w:id="30" w:name="добавление-зданий-сети"/>
    <w:p>
      <w:pPr>
        <w:pStyle w:val="Heading2"/>
      </w:pPr>
      <w:r>
        <w:t xml:space="preserve">2.2 Добавление зданий сети</w:t>
      </w:r>
    </w:p>
    <w:p>
      <w:pPr>
        <w:pStyle w:val="Compact"/>
        <w:numPr>
          <w:ilvl w:val="0"/>
          <w:numId w:val="1002"/>
        </w:numPr>
      </w:pPr>
      <w:r>
        <w:t xml:space="preserve">Далее добавлены два здания с именами Donskaya и Pavlovskaya, соответствующие двум территориям сети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145018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0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зданий Donskaya и Pavlovskaya в физической области</w:t>
            </w:r>
          </w:p>
          <w:bookmarkEnd w:id="29"/>
        </w:tc>
      </w:tr>
    </w:tbl>
    <w:bookmarkEnd w:id="30"/>
    <w:bookmarkStart w:id="35" w:name="размещение-оконечных-устройств"/>
    <w:p>
      <w:pPr>
        <w:pStyle w:val="Heading2"/>
      </w:pPr>
      <w:r>
        <w:t xml:space="preserve">2.3 Размещение оконечных устройств</w:t>
      </w:r>
    </w:p>
    <w:p>
      <w:pPr>
        <w:pStyle w:val="Compact"/>
        <w:numPr>
          <w:ilvl w:val="0"/>
          <w:numId w:val="1003"/>
        </w:numPr>
      </w:pPr>
      <w:r>
        <w:t xml:space="preserve">Затем выполнено размещение оконечных устройств внутри здания Donskaya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217349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3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Размещение конечных устройств в здании Donskaya</w:t>
            </w:r>
          </w:p>
          <w:bookmarkEnd w:id="34"/>
        </w:tc>
      </w:tr>
    </w:tbl>
    <w:bookmarkEnd w:id="35"/>
    <w:bookmarkStart w:id="40" w:name="просмотр-серверной-стойки"/>
    <w:p>
      <w:pPr>
        <w:pStyle w:val="Heading2"/>
      </w:pPr>
      <w:r>
        <w:t xml:space="preserve">2.4 Просмотр серверной стойки</w:t>
      </w:r>
    </w:p>
    <w:p>
      <w:pPr>
        <w:pStyle w:val="Compact"/>
        <w:numPr>
          <w:ilvl w:val="0"/>
          <w:numId w:val="1004"/>
        </w:numPr>
      </w:pPr>
      <w:r>
        <w:t xml:space="preserve">После этого открыта серверная стойка, в которой размещены коммутаторы и серверы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4"/>
          <w:p>
            <w:pPr>
              <w:pStyle w:val="Compact"/>
              <w:jc w:val="center"/>
            </w:pPr>
            <w:r>
              <w:drawing>
                <wp:inline>
                  <wp:extent cx="3733800" cy="337384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3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Серверная стойка с сетевым оборудованием</w:t>
            </w:r>
          </w:p>
          <w:bookmarkEnd w:id="39"/>
        </w:tc>
      </w:tr>
    </w:tbl>
    <w:bookmarkEnd w:id="40"/>
    <w:bookmarkStart w:id="45" w:name="перемещение-устройств-между-зданиями"/>
    <w:p>
      <w:pPr>
        <w:pStyle w:val="Heading2"/>
      </w:pPr>
      <w:r>
        <w:t xml:space="preserve">2.5 Перемещение устройств между зданиями</w:t>
      </w:r>
    </w:p>
    <w:p>
      <w:pPr>
        <w:pStyle w:val="Compact"/>
        <w:numPr>
          <w:ilvl w:val="0"/>
          <w:numId w:val="1005"/>
        </w:numPr>
      </w:pPr>
      <w:r>
        <w:t xml:space="preserve">Далее выполнено перемещение устройств, относящихся к Pavlovskaya, в соответствующее здание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5"/>
          <w:p>
            <w:pPr>
              <w:pStyle w:val="Compact"/>
              <w:jc w:val="center"/>
            </w:pPr>
            <w:r>
              <w:drawing>
                <wp:inline>
                  <wp:extent cx="3733800" cy="206705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7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Перемещение устройств в здание Pavlovskaya</w:t>
            </w:r>
          </w:p>
          <w:bookmarkEnd w:id="44"/>
        </w:tc>
      </w:tr>
    </w:tbl>
    <w:bookmarkEnd w:id="45"/>
    <w:bookmarkStart w:id="50" w:name="проверка-физической-иерархии"/>
    <w:p>
      <w:pPr>
        <w:pStyle w:val="Heading2"/>
      </w:pPr>
      <w:r>
        <w:t xml:space="preserve">2.6 Проверка физической иерархии</w:t>
      </w:r>
    </w:p>
    <w:p>
      <w:pPr>
        <w:pStyle w:val="Compact"/>
        <w:numPr>
          <w:ilvl w:val="0"/>
          <w:numId w:val="1006"/>
        </w:numPr>
      </w:pPr>
      <w:r>
        <w:t xml:space="preserve">Дополнительно показан результат размещения устройств Pavlovskaya в соответствующем здании в физической иерархии (</w:t>
      </w:r>
      <w:hyperlink w:anchor="fig-5-1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5-1"/>
          <w:p>
            <w:pPr>
              <w:pStyle w:val="Compact"/>
              <w:jc w:val="center"/>
            </w:pPr>
            <w:r>
              <w:drawing>
                <wp:inline>
                  <wp:extent cx="3733800" cy="131230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5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2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Иерархия физических расположений после перемещения устройств Pavlovskaya</w:t>
            </w:r>
          </w:p>
          <w:bookmarkEnd w:id="49"/>
        </w:tc>
      </w:tr>
    </w:tbl>
    <w:bookmarkEnd w:id="50"/>
    <w:bookmarkStart w:id="55" w:name="проверка-соединения-ping"/>
    <w:p>
      <w:pPr>
        <w:pStyle w:val="Heading2"/>
      </w:pPr>
      <w:r>
        <w:t xml:space="preserve">2.7 Проверка соединения (ping)</w:t>
      </w:r>
    </w:p>
    <w:p>
      <w:pPr>
        <w:pStyle w:val="Compact"/>
        <w:numPr>
          <w:ilvl w:val="0"/>
          <w:numId w:val="1007"/>
        </w:numPr>
      </w:pPr>
      <w:r>
        <w:t xml:space="preserve">Проведена проверка доступности узлов до учёта длины кабеля с помощью команды ping (</w:t>
      </w:r>
      <w:hyperlink w:anchor="fig-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6"/>
          <w:p>
            <w:pPr>
              <w:pStyle w:val="Compact"/>
              <w:jc w:val="center"/>
            </w:pPr>
            <w:r>
              <w:drawing>
                <wp:inline>
                  <wp:extent cx="3733800" cy="69294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2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Вывод команды ping до учёта длины кабеля</w:t>
            </w:r>
          </w:p>
          <w:bookmarkEnd w:id="54"/>
        </w:tc>
      </w:tr>
    </w:tbl>
    <w:bookmarkEnd w:id="55"/>
    <w:bookmarkStart w:id="60" w:name="включение-учёта-длины-кабеля"/>
    <w:p>
      <w:pPr>
        <w:pStyle w:val="Heading2"/>
      </w:pPr>
      <w:r>
        <w:t xml:space="preserve">2.8 Включение учёта длины кабеля</w:t>
      </w:r>
    </w:p>
    <w:p>
      <w:pPr>
        <w:pStyle w:val="Compact"/>
        <w:numPr>
          <w:ilvl w:val="0"/>
          <w:numId w:val="1008"/>
        </w:numPr>
      </w:pPr>
      <w:r>
        <w:t xml:space="preserve">Затем включена опция учёта длины кабеля в настройках программы (</w:t>
      </w:r>
      <w:hyperlink w:anchor="fig-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7"/>
          <w:p>
            <w:pPr>
              <w:pStyle w:val="Compact"/>
              <w:jc w:val="center"/>
            </w:pPr>
            <w:r>
              <w:drawing>
                <wp:inline>
                  <wp:extent cx="3733800" cy="128597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5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Включение параметра Enable Cable Length Effects</w:t>
            </w:r>
          </w:p>
          <w:bookmarkEnd w:id="59"/>
        </w:tc>
      </w:tr>
    </w:tbl>
    <w:bookmarkEnd w:id="60"/>
    <w:bookmarkStart w:id="65" w:name="увеличение-расстояния-между-зданиями"/>
    <w:p>
      <w:pPr>
        <w:pStyle w:val="Heading2"/>
      </w:pPr>
      <w:r>
        <w:t xml:space="preserve">2.9 Увеличение расстояния между зданиями</w:t>
      </w:r>
    </w:p>
    <w:p>
      <w:pPr>
        <w:pStyle w:val="Compact"/>
        <w:numPr>
          <w:ilvl w:val="0"/>
          <w:numId w:val="1009"/>
        </w:numPr>
      </w:pPr>
      <w:r>
        <w:t xml:space="preserve">После активации учёта длины кабеля здания были разнесены на значительное расстояние, а для соединения показан медный кабель Cross-Over длиной 1075.37 метров (</w:t>
      </w:r>
      <w:hyperlink w:anchor="fig-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8"/>
          <w:p>
            <w:pPr>
              <w:pStyle w:val="Compact"/>
              <w:jc w:val="center"/>
            </w:pPr>
            <w:r>
              <w:drawing>
                <wp:inline>
                  <wp:extent cx="3733800" cy="150691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6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Физическая топология с удалёнными зданиями и длинным медным соединением</w:t>
            </w:r>
          </w:p>
          <w:bookmarkEnd w:id="64"/>
        </w:tc>
      </w:tr>
    </w:tbl>
    <w:bookmarkEnd w:id="65"/>
    <w:bookmarkStart w:id="70" w:name="потеря-соединения"/>
    <w:p>
      <w:pPr>
        <w:pStyle w:val="Heading2"/>
      </w:pPr>
      <w:r>
        <w:t xml:space="preserve">2.10 Потеря соединения</w:t>
      </w:r>
    </w:p>
    <w:p>
      <w:pPr>
        <w:pStyle w:val="Compact"/>
        <w:numPr>
          <w:ilvl w:val="0"/>
          <w:numId w:val="1010"/>
        </w:numPr>
      </w:pPr>
      <w:r>
        <w:t xml:space="preserve">Выполнена проверка соединения при увеличенной длине кабеля, в результате чего связь отсутствует(</w:t>
      </w:r>
      <w:hyperlink w:anchor="fig-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9"/>
          <w:p>
            <w:pPr>
              <w:pStyle w:val="Compact"/>
              <w:jc w:val="center"/>
            </w:pPr>
            <w:r>
              <w:drawing>
                <wp:inline>
                  <wp:extent cx="3733800" cy="92325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3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Вывод команды ping при неработающем соединении</w:t>
            </w:r>
          </w:p>
          <w:bookmarkEnd w:id="69"/>
        </w:tc>
      </w:tr>
    </w:tbl>
    <w:bookmarkEnd w:id="70"/>
    <w:bookmarkStart w:id="75" w:name="добавление-повторителей"/>
    <w:p>
      <w:pPr>
        <w:pStyle w:val="Heading2"/>
      </w:pPr>
      <w:r>
        <w:t xml:space="preserve">2.11 Добавление повторителей</w:t>
      </w:r>
    </w:p>
    <w:p>
      <w:pPr>
        <w:pStyle w:val="Compact"/>
        <w:numPr>
          <w:ilvl w:val="0"/>
          <w:numId w:val="1011"/>
        </w:numPr>
      </w:pPr>
      <w:r>
        <w:t xml:space="preserve">Далее добавлены повторители (Repter-PT) для организации связи между территориями (</w:t>
      </w:r>
      <w:hyperlink w:anchor="fig-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0"/>
          <w:p>
            <w:pPr>
              <w:pStyle w:val="Compact"/>
              <w:jc w:val="center"/>
            </w:pPr>
            <w:r>
              <w:drawing>
                <wp:inline>
                  <wp:extent cx="3733800" cy="153723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7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Повторитель Packet Tracer Repeater с интерфейсными модулями</w:t>
            </w:r>
          </w:p>
          <w:bookmarkEnd w:id="74"/>
        </w:tc>
      </w:tr>
    </w:tbl>
    <w:bookmarkEnd w:id="75"/>
    <w:bookmarkStart w:id="80" w:name="размещение-повторителя"/>
    <w:p>
      <w:pPr>
        <w:pStyle w:val="Heading2"/>
      </w:pPr>
      <w:r>
        <w:t xml:space="preserve">2.12 Размещение повторителя</w:t>
      </w:r>
    </w:p>
    <w:p>
      <w:pPr>
        <w:pStyle w:val="Compact"/>
        <w:numPr>
          <w:ilvl w:val="0"/>
          <w:numId w:val="1012"/>
        </w:numPr>
      </w:pPr>
      <w:r>
        <w:t xml:space="preserve">Далее показано перемещение повторителя в здание Pavlovskaya через меню Move (</w:t>
      </w:r>
      <w:hyperlink w:anchor="fig-11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1"/>
          <w:p>
            <w:pPr>
              <w:pStyle w:val="Compact"/>
              <w:jc w:val="center"/>
            </w:pPr>
            <w:r>
              <w:drawing>
                <wp:inline>
                  <wp:extent cx="3733800" cy="1808489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8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Перемещение повторителя в здание Pavlovskaya</w:t>
            </w:r>
          </w:p>
          <w:bookmarkEnd w:id="79"/>
        </w:tc>
      </w:tr>
    </w:tbl>
    <w:bookmarkEnd w:id="80"/>
    <w:bookmarkStart w:id="85" w:name="построение-итоговой-топологии"/>
    <w:p>
      <w:pPr>
        <w:pStyle w:val="Heading2"/>
      </w:pPr>
      <w:r>
        <w:t xml:space="preserve">2.13 Построение итоговой топологии</w:t>
      </w:r>
    </w:p>
    <w:p>
      <w:pPr>
        <w:pStyle w:val="Compact"/>
        <w:numPr>
          <w:ilvl w:val="0"/>
          <w:numId w:val="1013"/>
        </w:numPr>
      </w:pPr>
      <w:r>
        <w:t xml:space="preserve">В логической области представлена итоговая схема сети, в которой связь между территориями реализована через два повторителя (</w:t>
      </w:r>
      <w:hyperlink w:anchor="fig-12">
        <w:r>
          <w:rPr>
            <w:rStyle w:val="Hyperlink"/>
          </w:rPr>
          <w:t xml:space="preserve">рис. 13</w:t>
        </w:r>
      </w:hyperlink>
      <w:r>
        <w:t xml:space="preserve">).</w:t>
      </w:r>
      <w:r>
        <w:t xml:space="preserve"> </w:t>
      </w:r>
      <w:r>
        <w:t xml:space="preserve">После этого выполнено соединение повторителей с использованием оптоволоконного кабеля (</w:t>
      </w:r>
      <w:hyperlink w:anchor="fig-12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2"/>
          <w:p>
            <w:pPr>
              <w:pStyle w:val="Compact"/>
              <w:jc w:val="center"/>
            </w:pPr>
            <w:r>
              <w:drawing>
                <wp:inline>
                  <wp:extent cx="3733800" cy="2669557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95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Физическое оптоволоконное соединение между зданиями через повторители</w:t>
            </w:r>
          </w:p>
          <w:bookmarkEnd w:id="84"/>
        </w:tc>
      </w:tr>
    </w:tbl>
    <w:bookmarkEnd w:id="85"/>
    <w:bookmarkStart w:id="90" w:name="восстановление-соединения"/>
    <w:p>
      <w:pPr>
        <w:pStyle w:val="Heading2"/>
      </w:pPr>
      <w:r>
        <w:t xml:space="preserve">2.14 Восстановление соединения</w:t>
      </w:r>
    </w:p>
    <w:p>
      <w:pPr>
        <w:pStyle w:val="Compact"/>
        <w:numPr>
          <w:ilvl w:val="0"/>
          <w:numId w:val="1014"/>
        </w:numPr>
      </w:pPr>
      <w:r>
        <w:t xml:space="preserve">В завершение выполнена проверка доступности узлов, подтверждающая восстановление соединения (</w:t>
      </w:r>
      <w:hyperlink w:anchor="fig-13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3"/>
          <w:p>
            <w:pPr>
              <w:pStyle w:val="Compact"/>
              <w:jc w:val="center"/>
            </w:pPr>
            <w:r>
              <w:drawing>
                <wp:inline>
                  <wp:extent cx="3733800" cy="79949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9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Вывод команды ping после восстановления соединения</w:t>
            </w:r>
          </w:p>
          <w:bookmarkEnd w:id="89"/>
        </w:tc>
      </w:tr>
    </w:tbl>
    <w:bookmarkEnd w:id="90"/>
    <w:bookmarkEnd w:id="91"/>
    <w:bookmarkStart w:id="9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показано влияние длины кабеля на работоспособность сети. При превышении допустимой длины медного кабеля соединение нарушается. Использование повторителей и оптоволоконного соединения позволяет восстановить связь между удалёнными сегментами сети</w:t>
      </w:r>
      <w:r>
        <w:t xml:space="preserve"> </w:t>
      </w:r>
      <w:r>
        <w:t xml:space="preserve">[</w:t>
      </w:r>
      <w:r>
        <w:rPr>
          <w:b/>
          <w:bCs/>
        </w:rPr>
        <w:t xml:space="preserve">ieee8021q?</w:t>
      </w:r>
      <w:r>
        <w:t xml:space="preserve">]</w:t>
      </w:r>
      <w:r>
        <w:t xml:space="preserve">.</w:t>
      </w:r>
    </w:p>
    <w:bookmarkEnd w:id="92"/>
    <w:bookmarkStart w:id="97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bookmarkStart w:id="93" w:name="X4b4e57061781460b339b14ee8fbe978c970ec70"/>
    <w:p>
      <w:pPr>
        <w:pStyle w:val="Heading2"/>
      </w:pPr>
      <w:r>
        <w:t xml:space="preserve">4.1 Перечислите возможные среды передачи данных. На какие характеристики среды передачи данных следует обращать внимание при планировании сети?</w:t>
      </w:r>
    </w:p>
    <w:p>
      <w:pPr>
        <w:pStyle w:val="Compact"/>
        <w:numPr>
          <w:ilvl w:val="0"/>
          <w:numId w:val="1015"/>
        </w:numPr>
      </w:pPr>
      <w:r>
        <w:t xml:space="preserve">Коаксиал, витая пара, оптоволокно, беспроводные. Допустимое расстояние, скорость передачи, реальные физические факторы для беспроводных сетей.</w:t>
      </w:r>
    </w:p>
    <w:bookmarkEnd w:id="93"/>
    <w:bookmarkStart w:id="94" w:name="Xa5e69066e208c1e33e6d159356af097db5cf6a5"/>
    <w:p>
      <w:pPr>
        <w:pStyle w:val="Heading2"/>
      </w:pPr>
      <w:r>
        <w:t xml:space="preserve">4.2 Перечислите категории витой пары. Чем они отличаются? Какая категория в каких условиях может применяться?</w:t>
      </w:r>
    </w:p>
    <w:p>
      <w:pPr>
        <w:pStyle w:val="Compact"/>
        <w:numPr>
          <w:ilvl w:val="0"/>
          <w:numId w:val="1016"/>
        </w:numPr>
      </w:pPr>
      <w:r>
        <w:t xml:space="preserve">Существует несколько категорий кабеля «витая пара», которые нумеруются от 1 до 8 и определяют эффективный пропускаемый частотный диапазон Категории отличаются диапазоном частот, строением кабелей, скоростью передачи. Применяются в зависимости от требуемой скорости передачи/века.</w:t>
      </w:r>
    </w:p>
    <w:bookmarkEnd w:id="94"/>
    <w:bookmarkStart w:id="95" w:name="Xad83acc88eb68ca5de8e8eb6463bd20995d834d"/>
    <w:p>
      <w:pPr>
        <w:pStyle w:val="Heading2"/>
      </w:pPr>
      <w:r>
        <w:t xml:space="preserve">4.3 В чем отличие одномодового и многомодового оптоволокна? Какой тип кабеля в каких условиях может применяться?</w:t>
      </w:r>
    </w:p>
    <w:p>
      <w:pPr>
        <w:pStyle w:val="Compact"/>
        <w:numPr>
          <w:ilvl w:val="0"/>
          <w:numId w:val="1017"/>
        </w:numPr>
      </w:pPr>
      <w:r>
        <w:t xml:space="preserve">В количестве проходящих лучей. Одномодовые — дороже, многомодовые — охватывают меньшее расстояние.</w:t>
      </w:r>
    </w:p>
    <w:bookmarkEnd w:id="95"/>
    <w:bookmarkStart w:id="96" w:name="X2b5a132c093c2834afe046c6730905c128ba2fa"/>
    <w:p>
      <w:pPr>
        <w:pStyle w:val="Heading2"/>
      </w:pPr>
      <w:r>
        <w:t xml:space="preserve">4.4 Какие разъёмы встречаются на патчах оптоволокна? Чем они отличаются?</w:t>
      </w:r>
    </w:p>
    <w:p>
      <w:pPr>
        <w:pStyle w:val="Compact"/>
        <w:numPr>
          <w:ilvl w:val="0"/>
          <w:numId w:val="1018"/>
        </w:numPr>
      </w:pPr>
      <w:r>
        <w:t xml:space="preserve">SC — высокая скорость и плотность коммутации, ненадежный корпус.</w:t>
      </w:r>
    </w:p>
    <w:p>
      <w:pPr>
        <w:pStyle w:val="Compact"/>
        <w:numPr>
          <w:ilvl w:val="0"/>
          <w:numId w:val="1018"/>
        </w:numPr>
      </w:pPr>
      <w:r>
        <w:t xml:space="preserve">ST — меньшая плотность коммутации, надежный корпус.</w:t>
      </w:r>
    </w:p>
    <w:p>
      <w:pPr>
        <w:pStyle w:val="Compact"/>
        <w:numPr>
          <w:ilvl w:val="0"/>
          <w:numId w:val="1018"/>
        </w:numPr>
      </w:pPr>
      <w:r>
        <w:t xml:space="preserve">FC — большая сложность коммутации.</w:t>
      </w:r>
    </w:p>
    <w:bookmarkEnd w:id="96"/>
    <w:bookmarkEnd w:id="97"/>
    <w:bookmarkStart w:id="99" w:name="список-литературы"/>
    <w:p>
      <w:pPr>
        <w:pStyle w:val="Heading1"/>
      </w:pPr>
      <w:r>
        <w:t xml:space="preserve">Список литературы</w:t>
      </w:r>
    </w:p>
    <w:bookmarkStart w:id="98" w:name="refs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6" Target="media/rId46.pn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бахи сиди али темассини</dc:creator>
  <dc:language>ru-RU</dc:language>
  <cp:keywords/>
  <dcterms:created xsi:type="dcterms:W3CDTF">2026-03-28T15:58:26Z</dcterms:created>
  <dcterms:modified xsi:type="dcterms:W3CDTF">2026-03-28T15:58:26Z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