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11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0" w:name="настройка-lmtp-в-dovecote"/>
    <w:p>
      <w:pPr>
        <w:pStyle w:val="Heading2"/>
      </w:pPr>
      <w:r>
        <w:t xml:space="preserve">2.1 Настройка LMTP в Dovecote</w:t>
      </w:r>
    </w:p>
    <w:p>
      <w:pPr>
        <w:pStyle w:val="FirstParagraph"/>
      </w:pPr>
      <w:r>
        <w:t xml:space="preserve">Вход в систему выполнен под пользователем с последующим переходом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что подтверждается приглашением</w:t>
      </w:r>
      <w:r>
        <w:t xml:space="preserve"> </w:t>
      </w:r>
      <w:r>
        <w:rPr>
          <w:rStyle w:val="VerbatimChar"/>
        </w:rPr>
        <w:t xml:space="preserve">root@server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Это обеспечивает права для изменения конфигурации почтовых служб.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0761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6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режим суперпользователя и мониторинг журнала maillog</w:t>
            </w:r>
          </w:p>
          <w:bookmarkEnd w:id="24"/>
        </w:tc>
      </w:tr>
    </w:tbl>
    <w:p>
      <w:pPr>
        <w:pStyle w:val="BodyText"/>
      </w:pPr>
      <w:r>
        <w:t xml:space="preserve">В дополнительном терминале запущен мониторинг журнала почтовой службы командой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, что позволяет в реальном времени отслеживать события Postfix и Dovecot, включая запуск демонов и обработку соединений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в список обслуживаемых протоколов добавлен протокол LMTP посредством строки</w:t>
      </w:r>
      <w:r>
        <w:t xml:space="preserve"> </w:t>
      </w:r>
      <w:r>
        <w:rPr>
          <w:rStyle w:val="VerbatimChar"/>
        </w:rPr>
        <w:t xml:space="preserve">protocols = imap pop3 lmtp</w:t>
      </w:r>
      <w:r>
        <w:t xml:space="preserve">, что расширяет функциональность Dovecot для работы с LMTP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2812066" cy="42850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2066" cy="428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протокола lmtp в конфигурации Dovecot</w:t>
            </w:r>
          </w:p>
          <w:bookmarkEnd w:id="28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выполнена настройка сервиса</w:t>
      </w:r>
      <w:r>
        <w:t xml:space="preserve"> </w:t>
      </w:r>
      <w:r>
        <w:rPr>
          <w:rStyle w:val="VerbatimChar"/>
        </w:rPr>
        <w:t xml:space="preserve">lmtp</w:t>
      </w:r>
      <w:r>
        <w:t xml:space="preserve">, где определён unix-сокет</w:t>
      </w:r>
      <w:r>
        <w:t xml:space="preserve"> </w:t>
      </w:r>
      <w:r>
        <w:rPr>
          <w:rStyle w:val="VerbatimChar"/>
        </w:rPr>
        <w:t xml:space="preserve">/var/spool/postfix/private/dovecot-lmtp</w:t>
      </w:r>
      <w:r>
        <w:t xml:space="preserve"> </w:t>
      </w:r>
      <w:r>
        <w:t xml:space="preserve">с параметрами доступа</w:t>
      </w:r>
      <w:r>
        <w:t xml:space="preserve"> </w:t>
      </w:r>
      <w:r>
        <w:rPr>
          <w:rStyle w:val="VerbatimChar"/>
        </w:rPr>
        <w:t xml:space="preserve">user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 = 0600</w:t>
      </w:r>
      <w:r>
        <w:t xml:space="preserve">, обеспечивающими взаимодействие Dovecot с Postfix через локальный сокет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88093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0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сервиса lmtp и unix-сокета для взаимодействия с Postfix</w:t>
            </w:r>
          </w:p>
          <w:bookmarkEnd w:id="32"/>
        </w:tc>
      </w:tr>
    </w:tbl>
    <w:p>
      <w:pPr>
        <w:pStyle w:val="BodyText"/>
      </w:pPr>
      <w:r>
        <w:t xml:space="preserve">В конфигурации Postfix параметр</w:t>
      </w:r>
      <w:r>
        <w:t xml:space="preserve"> </w:t>
      </w:r>
      <w:r>
        <w:rPr>
          <w:rStyle w:val="VerbatimChar"/>
        </w:rPr>
        <w:t xml:space="preserve">mailbox_transport</w:t>
      </w:r>
      <w:r>
        <w:t xml:space="preserve"> </w:t>
      </w:r>
      <w:r>
        <w:t xml:space="preserve">переопределён командой</w:t>
      </w:r>
      <w:r>
        <w:t xml:space="preserve"> </w:t>
      </w:r>
      <w:r>
        <w:rPr>
          <w:rStyle w:val="VerbatimChar"/>
        </w:rPr>
        <w:t xml:space="preserve">postconf -e 'mailbox_transport = lmtp:unix:private/dovecot-lmtp'</w:t>
      </w:r>
      <w:r>
        <w:t xml:space="preserve">, что направляет доставку почты через unix-сокет Dovecot вместо прямой локальной доставки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18965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Переопределение mailbox_transport в Postfix</w:t>
            </w:r>
          </w:p>
          <w:bookmarkEnd w:id="36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установлен формат имени пользователя</w:t>
      </w:r>
      <w:r>
        <w:t xml:space="preserve"> </w:t>
      </w:r>
      <w:r>
        <w:rPr>
          <w:rStyle w:val="VerbatimChar"/>
        </w:rPr>
        <w:t xml:space="preserve">auth_username_format = %Ln</w:t>
      </w:r>
      <w:r>
        <w:t xml:space="preserve">, что обеспечивает аутентификацию по логину без доменной части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5"/>
          <w:p>
            <w:pPr>
              <w:pStyle w:val="Compact"/>
              <w:jc w:val="center"/>
            </w:pPr>
            <w:r>
              <w:drawing>
                <wp:inline>
                  <wp:extent cx="3733800" cy="51332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3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формата имени пользователя в Dovecot</w:t>
            </w:r>
          </w:p>
          <w:bookmarkEnd w:id="40"/>
        </w:tc>
      </w:tr>
    </w:tbl>
    <w:p>
      <w:pPr>
        <w:pStyle w:val="BodyText"/>
      </w:pPr>
      <w:r>
        <w:t xml:space="preserve">После внесения изменений выполнен перезапуск служб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systemctl restart 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restart dovecot</w:t>
      </w:r>
      <w:r>
        <w:t xml:space="preserve">, что активирует обновлённые параметры конфигурации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6"/>
          <w:p>
            <w:pPr>
              <w:pStyle w:val="Compact"/>
              <w:jc w:val="center"/>
            </w:pPr>
            <w:r>
              <w:drawing>
                <wp:inline>
                  <wp:extent cx="3538995" cy="47824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8995" cy="478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Перезапуск служб Postfix и Dovecot</w:t>
            </w:r>
          </w:p>
          <w:bookmarkEnd w:id="44"/>
        </w:tc>
      </w:tr>
    </w:tbl>
    <w:p>
      <w:pPr>
        <w:pStyle w:val="BodyText"/>
      </w:pPr>
      <w:r>
        <w:t xml:space="preserve">С клиента отправлено тестовое письмо командой</w:t>
      </w:r>
      <w:r>
        <w:t xml:space="preserve"> </w:t>
      </w:r>
      <w:r>
        <w:rPr>
          <w:rStyle w:val="VerbatimChar"/>
        </w:rPr>
        <w:t xml:space="preserve">echo .| mail -s "LMTP test" bahis@bahis.net</w:t>
      </w:r>
      <w:r>
        <w:t xml:space="preserve">, что инициирует передачу сообщения через SMTP на сервер (</w:t>
      </w:r>
      <w:hyperlink w:anchor="fig-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47452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4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Отправка тестового письма с клиента</w:t>
            </w:r>
          </w:p>
          <w:bookmarkEnd w:id="48"/>
        </w:tc>
      </w:tr>
    </w:tbl>
    <w:p>
      <w:pPr>
        <w:pStyle w:val="BodyText"/>
      </w:pPr>
      <w:r>
        <w:t xml:space="preserve">На сервере выполнена проверка почтового ящика пользователя с использованием переменной</w:t>
      </w:r>
      <w:r>
        <w:t xml:space="preserve"> </w:t>
      </w:r>
      <w:r>
        <w:rPr>
          <w:rStyle w:val="VerbatimChar"/>
        </w:rPr>
        <w:t xml:space="preserve">MAIL=~/Maildir/</w:t>
      </w:r>
      <w:r>
        <w:t xml:space="preserve"> </w:t>
      </w:r>
      <w:r>
        <w:t xml:space="preserve">и команды</w:t>
      </w:r>
      <w:r>
        <w:t xml:space="preserve"> </w:t>
      </w:r>
      <w:r>
        <w:rPr>
          <w:rStyle w:val="VerbatimChar"/>
        </w:rPr>
        <w:t xml:space="preserve">mail</w:t>
      </w:r>
      <w:r>
        <w:t xml:space="preserve">. В списке сообщений отображается письмо с темой «LMTP test», что подтверждает корректную доставку через LMTP в каталог Maildir (</w:t>
      </w:r>
      <w:hyperlink w:anchor="fig-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содержимого Maildir и подтверждение доставки письма</w:t>
            </w:r>
          </w:p>
          <w:bookmarkEnd w:id="49"/>
        </w:tc>
      </w:tr>
    </w:tbl>
    <w:bookmarkEnd w:id="50"/>
    <w:bookmarkStart w:id="75" w:name="настройка-smtp-аутентификации"/>
    <w:p>
      <w:pPr>
        <w:pStyle w:val="Heading2"/>
      </w:pPr>
      <w:r>
        <w:t xml:space="preserve">2.2 Настройка SMTP-аутентификации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определена служба аутентификации</w:t>
      </w:r>
      <w:r>
        <w:t xml:space="preserve"> </w:t>
      </w:r>
      <w:r>
        <w:rPr>
          <w:rStyle w:val="VerbatimChar"/>
        </w:rPr>
        <w:t xml:space="preserve">service auth</w:t>
      </w:r>
      <w:r>
        <w:t xml:space="preserve">, в которой задан unix-сокет</w:t>
      </w:r>
      <w:r>
        <w:t xml:space="preserve"> </w:t>
      </w:r>
      <w:r>
        <w:rPr>
          <w:rStyle w:val="VerbatimChar"/>
        </w:rPr>
        <w:t xml:space="preserve">/var/spool/postfix/private/auth</w:t>
      </w:r>
      <w:r>
        <w:t xml:space="preserve"> </w:t>
      </w:r>
      <w:r>
        <w:t xml:space="preserve">с параметрами</w:t>
      </w:r>
      <w:r>
        <w:t xml:space="preserve"> </w:t>
      </w:r>
      <w:r>
        <w:rPr>
          <w:rStyle w:val="VerbatimChar"/>
        </w:rPr>
        <w:t xml:space="preserve">user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 = 0660</w:t>
      </w:r>
      <w:r>
        <w:t xml:space="preserve">. Это обеспечивает доступ Postfix к механизму SASL-аутентификации Dovecot через локальный сокет. Дополнительно определён</w:t>
      </w:r>
      <w:r>
        <w:t xml:space="preserve"> </w:t>
      </w:r>
      <w:r>
        <w:rPr>
          <w:rStyle w:val="VerbatimChar"/>
        </w:rPr>
        <w:t xml:space="preserve">unix_listener auth-userdb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mode = 0600</w:t>
      </w:r>
      <w:r>
        <w:t xml:space="preserve"> </w:t>
      </w:r>
      <w:r>
        <w:t xml:space="preserve">и пользователем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 что ограничивает доступ к базе пользователей процессом Dovecot (</w:t>
      </w:r>
      <w:hyperlink w:anchor="fig-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0"/>
          <w:p>
            <w:pPr>
              <w:pStyle w:val="Compact"/>
              <w:jc w:val="center"/>
            </w:pPr>
            <w:r>
              <w:drawing>
                <wp:inline>
                  <wp:extent cx="3733800" cy="113867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8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Определение службы аутентификации service auth в Dovecot</w:t>
            </w:r>
          </w:p>
          <w:bookmarkEnd w:id="54"/>
        </w:tc>
      </w:tr>
    </w:tbl>
    <w:p>
      <w:pPr>
        <w:pStyle w:val="BodyText"/>
      </w:pPr>
      <w:r>
        <w:t xml:space="preserve">В Postfix задан тип SASL-аутентификации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и путь к unix-сокету</w:t>
      </w:r>
      <w:r>
        <w:t xml:space="preserve"> </w:t>
      </w:r>
      <w:r>
        <w:rPr>
          <w:rStyle w:val="VerbatimChar"/>
        </w:rPr>
        <w:t xml:space="preserve">private/auth</w:t>
      </w:r>
      <w:r>
        <w:t xml:space="preserve"> </w:t>
      </w:r>
      <w:r>
        <w:t xml:space="preserve">с помощью параметров</w:t>
      </w:r>
      <w:r>
        <w:t xml:space="preserve"> </w:t>
      </w:r>
      <w:r>
        <w:rPr>
          <w:rStyle w:val="VerbatimChar"/>
        </w:rPr>
        <w:t xml:space="preserve">smtpd_sasl_type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smtpd_sasl_path</w:t>
      </w:r>
      <w:r>
        <w:t xml:space="preserve">. Это настраивает smtpd на использование Dovecot как backend-аутентификатора (</w:t>
      </w:r>
      <w:hyperlink w:anchor="fig-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1"/>
          <w:p>
            <w:pPr>
              <w:pStyle w:val="Compact"/>
              <w:jc w:val="center"/>
            </w:pPr>
            <w:r>
              <w:drawing>
                <wp:inline>
                  <wp:extent cx="3733800" cy="56823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smtpd_sasl_type и smtpd_sasl_path в Postfix</w:t>
            </w:r>
          </w:p>
          <w:bookmarkEnd w:id="58"/>
        </w:tc>
      </w:tr>
    </w:tbl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 </w:t>
      </w:r>
      <w:r>
        <w:t xml:space="preserve">настроен с последовательностью:</w:t>
      </w:r>
      <w:r>
        <w:t xml:space="preserve"> </w:t>
      </w:r>
      <w:r>
        <w:rPr>
          <w:rStyle w:val="VerbatimChar"/>
        </w:rPr>
        <w:t xml:space="preserve">reject_unknown_recipient_domain</w:t>
      </w:r>
      <w:r>
        <w:t xml:space="preserve"> </w:t>
      </w:r>
      <w:r>
        <w:t xml:space="preserve">— отклонение писем для неизвестных доменов;</w:t>
      </w:r>
      <w:r>
        <w:t xml:space="preserve"> </w:t>
      </w:r>
      <w:r>
        <w:rPr>
          <w:rStyle w:val="VerbatimChar"/>
        </w:rPr>
        <w:t xml:space="preserve">permit_mynetworks</w:t>
      </w:r>
      <w:r>
        <w:t xml:space="preserve"> </w:t>
      </w:r>
      <w:r>
        <w:t xml:space="preserve">— разрешение для доверенной сети;</w:t>
      </w:r>
      <w:r>
        <w:t xml:space="preserve"> </w:t>
      </w:r>
      <w:r>
        <w:rPr>
          <w:rStyle w:val="VerbatimChar"/>
        </w:rPr>
        <w:t xml:space="preserve">reject_non_fqdn_recipient</w:t>
      </w:r>
      <w:r>
        <w:t xml:space="preserve"> </w:t>
      </w:r>
      <w:r>
        <w:t xml:space="preserve">— запрет некорректных адресов;</w:t>
      </w:r>
      <w:r>
        <w:t xml:space="preserve"> </w:t>
      </w:r>
      <w:r>
        <w:rPr>
          <w:rStyle w:val="VerbatimChar"/>
        </w:rPr>
        <w:t xml:space="preserve">reject_unauth_destination</w:t>
      </w:r>
      <w:r>
        <w:t xml:space="preserve"> </w:t>
      </w:r>
      <w:r>
        <w:t xml:space="preserve">— запрет релея для неразрешённых направлений;</w:t>
      </w:r>
      <w:r>
        <w:t xml:space="preserve"> </w:t>
      </w:r>
      <w:r>
        <w:rPr>
          <w:rStyle w:val="VerbatimChar"/>
        </w:rPr>
        <w:t xml:space="preserve">reject_unverified_recipient</w:t>
      </w:r>
      <w:r>
        <w:t xml:space="preserve"> </w:t>
      </w:r>
      <w:r>
        <w:t xml:space="preserve">— проверка существования получателя;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— окончательное разрешение при выполнении условий.</w:t>
      </w:r>
      <w:r>
        <w:t xml:space="preserve"> </w:t>
      </w:r>
      <w:r>
        <w:t xml:space="preserve">Это предотвращает использование сервера как SMTP relay (</w:t>
      </w:r>
      <w:hyperlink w:anchor="fig-11">
        <w:r>
          <w:rPr>
            <w:rStyle w:val="Hyperlink"/>
          </w:rPr>
          <w:t xml:space="preserve">рис. 10</w:t>
        </w:r>
      </w:hyperlink>
      <w:r>
        <w:t xml:space="preserve">).</w:t>
      </w:r>
    </w:p>
    <w:p>
      <w:pPr>
        <w:pStyle w:val="BodyText"/>
      </w:pPr>
      <w:r>
        <w:t xml:space="preserve">В параметре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установлено значение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, что ограничивает приём почты только локальными соединениями (</w:t>
      </w:r>
      <w:hyperlink w:anchor="fig-11">
        <w:r>
          <w:rPr>
            <w:rStyle w:val="Hyperlink"/>
          </w:rPr>
          <w:t xml:space="preserve">рис. 10</w:t>
        </w:r>
      </w:hyperlink>
      <w:r>
        <w:t xml:space="preserve">).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для сервиса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добавлены параметры</w:t>
      </w:r>
      <w:r>
        <w:t xml:space="preserve"> </w:t>
      </w:r>
      <w:r>
        <w:rPr>
          <w:rStyle w:val="VerbatimChar"/>
        </w:rPr>
        <w:t xml:space="preserve">-o smtpd_sasl_auth_enable=yes</w:t>
      </w:r>
      <w:r>
        <w:t xml:space="preserve"> </w:t>
      </w:r>
      <w:r>
        <w:t xml:space="preserve">и модифицированы ограничения получателей, что временно включает аутентификацию на порту 25 для тестирования (</w:t>
      </w:r>
      <w:hyperlink w:anchor="fig-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2"/>
          <w:p>
            <w:pPr>
              <w:pStyle w:val="Compact"/>
              <w:jc w:val="center"/>
            </w:pPr>
            <w:r>
              <w:drawing>
                <wp:inline>
                  <wp:extent cx="3733800" cy="139756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7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Модификация сервиса smtp в master.cf для включения SASL</w:t>
            </w:r>
          </w:p>
          <w:bookmarkEnd w:id="62"/>
        </w:tc>
      </w:tr>
    </w:tbl>
    <w:p>
      <w:pPr>
        <w:pStyle w:val="BodyText"/>
      </w:pPr>
      <w:r>
        <w:t xml:space="preserve">После внесения изменений выполнен перезапуск служб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 что активирует новую конфигурацию аутентификации (</w:t>
      </w:r>
      <w:hyperlink w:anchor="fig-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3"/>
          <w:p>
            <w:pPr>
              <w:pStyle w:val="Compact"/>
              <w:jc w:val="center"/>
            </w:pPr>
            <w:r>
              <w:drawing>
                <wp:inline>
                  <wp:extent cx="3733800" cy="29940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Перезапуск служб Postfix и Dovecot</w:t>
            </w:r>
          </w:p>
          <w:bookmarkEnd w:id="66"/>
        </w:tc>
      </w:tr>
    </w:tbl>
    <w:p>
      <w:pPr>
        <w:pStyle w:val="BodyText"/>
      </w:pPr>
      <w:r>
        <w:t xml:space="preserve">На клиенте установлен пакет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что позволяет выполнить ручное тестирование SMTP-соединения (</w:t>
      </w:r>
      <w:hyperlink w:anchor="fig-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4"/>
          <w:p>
            <w:pPr>
              <w:pStyle w:val="Compact"/>
              <w:jc w:val="center"/>
            </w:pPr>
            <w:r>
              <w:drawing>
                <wp:inline>
                  <wp:extent cx="3733800" cy="287779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7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Установка telnet на клиенте</w:t>
            </w:r>
          </w:p>
          <w:bookmarkEnd w:id="70"/>
        </w:tc>
      </w:tr>
    </w:tbl>
    <w:p>
      <w:pPr>
        <w:pStyle w:val="BodyText"/>
      </w:pPr>
      <w:r>
        <w:t xml:space="preserve">Сформирована строка аутентификации в формате base64 командой</w:t>
      </w:r>
      <w:r>
        <w:t xml:space="preserve"> </w:t>
      </w:r>
      <w:r>
        <w:rPr>
          <w:rStyle w:val="VerbatimChar"/>
        </w:rPr>
        <w:t xml:space="preserve">printf 'bahis\x00bahis\x00123456' | base64</w:t>
      </w:r>
      <w:r>
        <w:t xml:space="preserve">, затем выполнено подключение к SMTP-серверу по порту 25. После команды</w:t>
      </w:r>
      <w:r>
        <w:t xml:space="preserve"> </w:t>
      </w:r>
      <w:r>
        <w:rPr>
          <w:rStyle w:val="VerbatimChar"/>
        </w:rPr>
        <w:t xml:space="preserve">EHLO test</w:t>
      </w:r>
      <w:r>
        <w:t xml:space="preserve"> </w:t>
      </w:r>
      <w:r>
        <w:t xml:space="preserve">сервер объявил поддержку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AUTH PLAIN &lt;base64&gt;</w:t>
      </w:r>
      <w:r>
        <w:t xml:space="preserve"> </w:t>
      </w:r>
      <w:r>
        <w:t xml:space="preserve">завершилась ответом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, что подтверждает корректную работу SASL-аутентификации через Dovecot (</w:t>
      </w:r>
      <w:hyperlink w:anchor="fig-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5"/>
          <w:p>
            <w:pPr>
              <w:pStyle w:val="Compact"/>
              <w:jc w:val="center"/>
            </w:pPr>
            <w:r>
              <w:drawing>
                <wp:inline>
                  <wp:extent cx="3733800" cy="285803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8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Тестирование SMTP-аутентификации через telnet</w:t>
            </w:r>
          </w:p>
          <w:bookmarkEnd w:id="74"/>
        </w:tc>
      </w:tr>
    </w:tbl>
    <w:bookmarkEnd w:id="75"/>
    <w:bookmarkStart w:id="104" w:name="настройка-smtp-over-tls"/>
    <w:p>
      <w:pPr>
        <w:pStyle w:val="Heading2"/>
      </w:pPr>
      <w:r>
        <w:t xml:space="preserve">2.3 Настройка SMTP over TLS</w:t>
      </w:r>
    </w:p>
    <w:p>
      <w:pPr>
        <w:pStyle w:val="FirstParagraph"/>
      </w:pPr>
      <w:r>
        <w:t xml:space="preserve">На сервере выполнено копирование временного сертификата и закрытого ключа Dovecot из каталога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 </w:t>
      </w:r>
      <w:r>
        <w:t xml:space="preserve">в соответствующие подкаталоги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, после чего в Postfix заданы параметры</w:t>
      </w:r>
      <w:r>
        <w:t xml:space="preserve"> </w:t>
      </w:r>
      <w:r>
        <w:rPr>
          <w:rStyle w:val="VerbatimChar"/>
        </w:rPr>
        <w:t xml:space="preserve">smtpd_tls_cert_file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smtpd_tls_key_file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smtpd_tls_session_cache_database</w:t>
      </w:r>
      <w:r>
        <w:t xml:space="preserve">, а также уровни безопасности</w:t>
      </w:r>
      <w:r>
        <w:t xml:space="preserve"> </w:t>
      </w:r>
      <w:r>
        <w:rPr>
          <w:rStyle w:val="VerbatimChar"/>
        </w:rPr>
        <w:t xml:space="preserve">smtpd_tls_security_level = may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smtp_tls_security_level = may</w:t>
      </w:r>
      <w:r>
        <w:t xml:space="preserve">, что активирует поддержку TLS для входящих и исходящих SMTP-соединений (</w:t>
      </w:r>
      <w:hyperlink w:anchor="fig-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6"/>
          <w:p>
            <w:pPr>
              <w:pStyle w:val="Compact"/>
              <w:jc w:val="center"/>
            </w:pPr>
            <w:r>
              <w:drawing>
                <wp:inline>
                  <wp:extent cx="3733800" cy="90827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8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TLS-параметров в Postfix</w:t>
            </w:r>
          </w:p>
          <w:bookmarkEnd w:id="79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оставлен стандартный сервис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 а также добавлен сервис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на порту 587 с параметрами</w:t>
      </w:r>
      <w:r>
        <w:t xml:space="preserve"> </w:t>
      </w:r>
      <w:r>
        <w:rPr>
          <w:rStyle w:val="VerbatimChar"/>
        </w:rPr>
        <w:t xml:space="preserve">-o smtpd_tls_security_level=encrypt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-o smtpd_sasl_auth_enable=yes</w:t>
      </w:r>
      <w:r>
        <w:t xml:space="preserve"> </w:t>
      </w:r>
      <w:r>
        <w:t xml:space="preserve">и ограничениями получателей, что обеспечивает обязательное использование TLS и аутентификации для клиентов (</w:t>
      </w:r>
      <w:hyperlink w:anchor="fig-18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8"/>
          <w:p>
            <w:pPr>
              <w:pStyle w:val="Compact"/>
              <w:jc w:val="center"/>
            </w:pPr>
            <w:r>
              <w:drawing>
                <wp:inline>
                  <wp:extent cx="3733800" cy="141168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1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Добавление сервиса submission в master.cf</w:t>
            </w:r>
          </w:p>
          <w:bookmarkEnd w:id="83"/>
        </w:tc>
      </w:tr>
    </w:tbl>
    <w:p>
      <w:pPr>
        <w:pStyle w:val="BodyText"/>
      </w:pPr>
      <w:r>
        <w:t xml:space="preserve">В межсетевом экране разрешена служба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firewall-cmd --add-service=smtp-submission</w:t>
      </w:r>
      <w:r>
        <w:t xml:space="preserve"> </w:t>
      </w:r>
      <w:r>
        <w:t xml:space="preserve">и с сохранением правила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после чего выполнена перезагрузка конфигурации брандмауэра и перезапуск Postfix (</w:t>
      </w:r>
      <w:hyperlink w:anchor="fig-19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9"/>
          <w:p>
            <w:pPr>
              <w:pStyle w:val="Compact"/>
              <w:jc w:val="center"/>
            </w:pPr>
            <w:r>
              <w:drawing>
                <wp:inline>
                  <wp:extent cx="3733800" cy="69665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firewall и перезапуск Postfix</w:t>
            </w:r>
          </w:p>
          <w:bookmarkEnd w:id="87"/>
        </w:tc>
      </w:tr>
    </w:tbl>
    <w:p>
      <w:pPr>
        <w:pStyle w:val="BodyText"/>
      </w:pPr>
      <w:r>
        <w:t xml:space="preserve">С клиента выполнено подключение к серверу по порту 587 с использованием</w:t>
      </w:r>
      <w:r>
        <w:t xml:space="preserve"> </w:t>
      </w:r>
      <w:r>
        <w:rPr>
          <w:rStyle w:val="VerbatimChar"/>
        </w:rPr>
        <w:t xml:space="preserve">openssl s_client -starttls smtp -crlf -connect server.bahis.net:587</w:t>
      </w:r>
      <w:r>
        <w:t xml:space="preserve">. В процессе установлено TLS-соединение, отображена информация о самоподписанном сертификате, после чего сервер успешно принял команды</w:t>
      </w:r>
      <w:r>
        <w:t xml:space="preserve"> </w:t>
      </w:r>
      <w:r>
        <w:rPr>
          <w:rStyle w:val="VerbatimChar"/>
        </w:rPr>
        <w:t xml:space="preserve">EHLO</w:t>
      </w:r>
      <w:r>
        <w:t xml:space="preserve"> </w:t>
      </w:r>
      <w:r>
        <w:t xml:space="preserve">и объявил поддержку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20"/>
          <w:p>
            <w:pPr>
              <w:pStyle w:val="Compact"/>
              <w:jc w:val="center"/>
            </w:pPr>
            <w:r>
              <w:drawing>
                <wp:inline>
                  <wp:extent cx="3733800" cy="295157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1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Установление SMTP over TLS соединения через openssl</w:t>
            </w:r>
          </w:p>
          <w:bookmarkEnd w:id="91"/>
        </w:tc>
      </w:tr>
    </w:tbl>
    <w:p>
      <w:pPr>
        <w:pStyle w:val="BodyText"/>
      </w:pPr>
      <w:r>
        <w:t xml:space="preserve">Проверка аутентификации выполнена командой</w:t>
      </w:r>
      <w:r>
        <w:t xml:space="preserve"> </w:t>
      </w:r>
      <w:r>
        <w:rPr>
          <w:rStyle w:val="VerbatimChar"/>
        </w:rPr>
        <w:t xml:space="preserve">AUTH PLAIN &lt;base64&gt;</w:t>
      </w:r>
      <w:r>
        <w:t xml:space="preserve">, сервер вернул ответ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, что подтверждает корректную работу SMTP over TLS с SASL-аутентификацией (</w:t>
      </w:r>
      <w:hyperlink w:anchor="fig-2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21"/>
          <w:p>
            <w:pPr>
              <w:pStyle w:val="Compact"/>
              <w:jc w:val="center"/>
            </w:pPr>
            <w:r>
              <w:drawing>
                <wp:inline>
                  <wp:extent cx="3733800" cy="236474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Успешная SMTP-аутентификация через порт 587</w:t>
            </w:r>
          </w:p>
          <w:bookmarkEnd w:id="95"/>
        </w:tc>
      </w:tr>
    </w:tbl>
    <w:p>
      <w:pPr>
        <w:pStyle w:val="BodyText"/>
      </w:pPr>
      <w:r>
        <w:t xml:space="preserve">В почтовом клиенте Evolution настроен SMTP-сервер с использованием порта 587, режима STARTTLS и обычного пароля, после чего отправлено тестовое сообщение с темой «test 5» (</w:t>
      </w:r>
      <w:hyperlink w:anchor="fig-2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22"/>
          <w:p>
            <w:pPr>
              <w:pStyle w:val="Compact"/>
              <w:jc w:val="center"/>
            </w:pPr>
            <w:r>
              <w:drawing>
                <wp:inline>
                  <wp:extent cx="2697288" cy="225730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288" cy="2257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Отправка письма через Evolution по SMTP over TLS</w:t>
            </w:r>
          </w:p>
          <w:bookmarkEnd w:id="99"/>
        </w:tc>
      </w:tr>
    </w:tbl>
    <w:p>
      <w:pPr>
        <w:pStyle w:val="BodyText"/>
      </w:pPr>
      <w:r>
        <w:t xml:space="preserve">На сервере выполнена проверка почтового ящика командой</w:t>
      </w:r>
      <w:r>
        <w:t xml:space="preserve"> </w:t>
      </w:r>
      <w:r>
        <w:rPr>
          <w:rStyle w:val="VerbatimChar"/>
        </w:rPr>
        <w:t xml:space="preserve">MAIL=~/Maildir/ mail</w:t>
      </w:r>
      <w:r>
        <w:t xml:space="preserve">, где отображается сообщение с темой «test 5», что подтверждает корректную доставку письма через защищённое соединение SMTP over TLS (</w:t>
      </w:r>
      <w:hyperlink w:anchor="fig-23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23"/>
          <w:p>
            <w:pPr>
              <w:pStyle w:val="Compact"/>
              <w:jc w:val="center"/>
            </w:pPr>
            <w:r>
              <w:drawing>
                <wp:inline>
                  <wp:extent cx="3733800" cy="237938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9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Подтверждение доставки письма в Maildir</w:t>
            </w:r>
          </w:p>
          <w:bookmarkEnd w:id="103"/>
        </w:tc>
      </w:tr>
    </w:tbl>
    <w:bookmarkEnd w:id="104"/>
    <w:bookmarkStart w:id="117" w:name="Xa12217cbbfc9629abe680410cf62239d1e27f8e"/>
    <w:p>
      <w:pPr>
        <w:pStyle w:val="Heading2"/>
      </w:pPr>
      <w:r>
        <w:t xml:space="preserve">2.4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после чего конфигурационные файлы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Postfix скопированы в соответствующие подкаталоги</w:t>
      </w:r>
      <w:r>
        <w:t xml:space="preserve"> </w:t>
      </w:r>
      <w:r>
        <w:rPr>
          <w:rStyle w:val="VerbatimChar"/>
        </w:rPr>
        <w:t xml:space="preserve">mail/etc/dovecot/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mail/etc/postfix/</w:t>
      </w:r>
      <w:r>
        <w:t xml:space="preserve">. Это обеспечивает сохранение рабочей конфигурации служб для последующего автоматического развёртывания через provisioning (</w:t>
      </w:r>
      <w:hyperlink w:anchor="fig-24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4"/>
          <w:p>
            <w:pPr>
              <w:pStyle w:val="Compact"/>
              <w:jc w:val="center"/>
            </w:pPr>
            <w:r>
              <w:drawing>
                <wp:inline>
                  <wp:extent cx="3733800" cy="120425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4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Копирование конфигурационных файлов Dovecot и Postfix в каталог provision</w:t>
            </w:r>
          </w:p>
          <w:bookmarkEnd w:id="108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внесены изменения расширенной конфигурации SMTP-сервера: добавлена установка пакетов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; копирование конфигурации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; настройка firewall для служб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; параметры Postfix (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); поддержка Maildir (</w:t>
      </w:r>
      <w:r>
        <w:rPr>
          <w:rStyle w:val="VerbatimChar"/>
        </w:rPr>
        <w:t xml:space="preserve">home_mailbox = Maildir/</w:t>
      </w:r>
      <w:r>
        <w:t xml:space="preserve">); SASL-аутентификация через Dovecot (</w:t>
      </w:r>
      <w:r>
        <w:rPr>
          <w:rStyle w:val="VerbatimChar"/>
        </w:rPr>
        <w:t xml:space="preserve">smtpd_sasl_type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smtpd_sasl_path</w:t>
      </w:r>
      <w:r>
        <w:t xml:space="preserve">); ограничения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; параметр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; а также конфигурация SMTP over TLS с указанием сертификата, ключа и уровня безопасности. В конце скрипта выполняются</w:t>
      </w:r>
      <w:r>
        <w:t xml:space="preserve"> </w:t>
      </w:r>
      <w:r>
        <w:rPr>
          <w:rStyle w:val="VerbatimChar"/>
        </w:rPr>
        <w:t xml:space="preserve">postfix set-permissions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, перезапуск служб Postfix и Dovecot (</w:t>
      </w:r>
      <w:hyperlink w:anchor="fig-25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25"/>
          <w:p>
            <w:pPr>
              <w:pStyle w:val="Compact"/>
              <w:jc w:val="center"/>
            </w:pPr>
            <w:r>
              <w:drawing>
                <wp:inline>
                  <wp:extent cx="3733800" cy="298922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9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Расширенная конфигурация SMTP-сервера в mail.sh (server)</w:t>
            </w:r>
          </w:p>
          <w:bookmarkEnd w:id="112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добавлена установка пакета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dnf -y install telnet</w:t>
      </w:r>
      <w:r>
        <w:t xml:space="preserve">, что обеспечивает возможность тестирования SMTP-соединения с клиента в процессе автоматической настройки виртуальной машины (</w:t>
      </w:r>
      <w:hyperlink w:anchor="fig-26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26"/>
          <w:p>
            <w:pPr>
              <w:pStyle w:val="Compact"/>
              <w:jc w:val="center"/>
            </w:pPr>
            <w:r>
              <w:drawing>
                <wp:inline>
                  <wp:extent cx="3317091" cy="189384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7091" cy="1893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Добавление установки telnet в mail.sh (client)</w:t>
            </w:r>
          </w:p>
          <w:bookmarkEnd w:id="116"/>
        </w:tc>
      </w:tr>
    </w:tbl>
    <w:bookmarkEnd w:id="117"/>
    <w:bookmarkEnd w:id="118"/>
    <w:bookmarkStart w:id="11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комплексная настройка почтового сервера на базе Postfix и Dovecot с поддержкой LMTP, SASL-аутентификации и SMTP over TLS.</w:t>
      </w:r>
    </w:p>
    <w:p>
      <w:pPr>
        <w:pStyle w:val="BodyText"/>
      </w:pPr>
      <w:r>
        <w:t xml:space="preserve">Реализована доставка почты через LMTP-сокет Dovecot, что обеспечило корректную интеграцию MTA и MDA. Настроена SASL-аутентификация через Dovecot, исключающая несанкционированное использование сервера в качестве SMTP-relay. Ограничения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 </w:t>
      </w:r>
      <w:r>
        <w:t xml:space="preserve">и параметр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обеспечили контроль приёма сообщений.</w:t>
      </w:r>
    </w:p>
    <w:p>
      <w:pPr>
        <w:pStyle w:val="BodyText"/>
      </w:pPr>
      <w:r>
        <w:t xml:space="preserve">Настроена поддержка TLS с использованием сертификата Dovecot и реализован сервис submission (порт 587) с обязательным шифрованием и аутентификацией. Проверка через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 </w:t>
      </w:r>
      <w:r>
        <w:t xml:space="preserve">подтвердила успешное установление защищённого соединения.</w:t>
      </w:r>
    </w:p>
    <w:p>
      <w:pPr>
        <w:pStyle w:val="BodyText"/>
      </w:pPr>
      <w:r>
        <w:t xml:space="preserve">Отправка сообщений через telnet и почтовый клиент Evolution показала корректную работу SMTP over TLS и доставку писем в Maildir пользователя.</w:t>
      </w:r>
    </w:p>
    <w:p>
      <w:pPr>
        <w:pStyle w:val="BodyText"/>
      </w:pPr>
      <w:r>
        <w:t xml:space="preserve">Конфигурация интегрирована в механизм provisioning виртуальной машины, что обеспечивает воспроизводимость настройки внутреннего окружения.</w:t>
      </w:r>
    </w:p>
    <w:bookmarkEnd w:id="119"/>
    <w:bookmarkStart w:id="12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Приведите пример задания формата аутентификации пользователя в</w:t>
      </w:r>
      <w:r>
        <w:t xml:space="preserve"> </w:t>
      </w:r>
      <w:r>
        <w:t xml:space="preserve">Dovecot в форме логина с указанием домена.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auth_username_format = %Lu@%d</w:t>
      </w:r>
    </w:p>
    <w:p>
      <w:pPr>
        <w:pStyle w:val="Compact"/>
        <w:numPr>
          <w:ilvl w:val="0"/>
          <w:numId w:val="1003"/>
        </w:numPr>
      </w:pPr>
      <w:r>
        <w:t xml:space="preserve">Какие функции выполняет почтовый Relay-сервер?</w:t>
      </w:r>
    </w:p>
    <w:p>
      <w:pPr>
        <w:pStyle w:val="Compact"/>
        <w:numPr>
          <w:ilvl w:val="0"/>
          <w:numId w:val="1004"/>
        </w:numPr>
      </w:pPr>
      <w:r>
        <w:t xml:space="preserve">Почтовый Relay-сервер выполняет функции пересылки почты от одного</w:t>
      </w:r>
      <w:r>
        <w:t xml:space="preserve"> </w:t>
      </w:r>
      <w:r>
        <w:t xml:space="preserve">почтового сервера к другому, облегчая маршрутизацию электронных сообщений между различными почтовыми системами.</w:t>
      </w:r>
    </w:p>
    <w:p>
      <w:pPr>
        <w:pStyle w:val="Compact"/>
        <w:numPr>
          <w:ilvl w:val="0"/>
          <w:numId w:val="1005"/>
        </w:numPr>
      </w:pPr>
      <w:r>
        <w:t xml:space="preserve">Какие угрозы безопасности могут возникнуть в случае настройки почтового</w:t>
      </w:r>
      <w:r>
        <w:t xml:space="preserve"> </w:t>
      </w:r>
      <w:r>
        <w:t xml:space="preserve">сервера как Relay-сервера?</w:t>
      </w:r>
    </w:p>
    <w:p>
      <w:pPr>
        <w:pStyle w:val="FirstParagraph"/>
      </w:pPr>
      <w:r>
        <w:t xml:space="preserve">Угрозы безопасности, связанные с настройкой почтового сервера как Relay-сервера, могут включать рассылку нежелательной почты (спам), перехват и</w:t>
      </w:r>
      <w:r>
        <w:t xml:space="preserve"> </w:t>
      </w:r>
      <w:r>
        <w:t xml:space="preserve">изменение электронных сообщений, а также использование сервера для</w:t>
      </w:r>
      <w:r>
        <w:t xml:space="preserve"> </w:t>
      </w:r>
      <w:r>
        <w:t xml:space="preserve">ретрансляции вредоносных сообщений.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Бахи сиди али темассини</dc:creator>
  <dc:language>ru-RU</dc:language>
  <cp:keywords/>
  <dcterms:created xsi:type="dcterms:W3CDTF">2026-02-16T11:11:17Z</dcterms:created>
  <dcterms:modified xsi:type="dcterms:W3CDTF">2026-02-16T11:11:17Z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