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8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32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</w:t>
      </w:r>
      <w:r>
        <w:t xml:space="preserve"> </w:t>
      </w:r>
      <w:r>
        <w:t xml:space="preserve">устройствах сети.</w:t>
      </w:r>
    </w:p>
    <w:bookmarkEnd w:id="20"/>
    <w:bookmarkStart w:id="13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3" w:name="разбиение-сети-на-подсети"/>
    <w:p>
      <w:pPr>
        <w:pStyle w:val="Heading2"/>
      </w:pPr>
      <w:r>
        <w:t xml:space="preserve">2.1 Разбиение сети на подсети</w:t>
      </w:r>
    </w:p>
    <w:bookmarkStart w:id="21" w:name="разбиение-ipv4-сети-на-подсети"/>
    <w:p>
      <w:pPr>
        <w:pStyle w:val="Heading3"/>
      </w:pPr>
      <w:r>
        <w:t xml:space="preserve">2.1.1 Разбиение IPv4-сети на подсети</w:t>
      </w:r>
    </w:p>
    <w:p>
      <w:pPr>
        <w:pStyle w:val="Compact"/>
        <w:numPr>
          <w:ilvl w:val="0"/>
          <w:numId w:val="1001"/>
        </w:numPr>
      </w:pPr>
      <w:r>
        <w:t xml:space="preserve">Задана IPv4-сеть 172.16.20.0/24. Для заданной сети определите префикс, маску, broadcast-адрес, число возможных подсетей, диапазон адресов узлов. Разбейте сеть на 3 подсети с максимально возможным числом адресов узлов 126, 62, 62 соответственно.</w:t>
      </w:r>
    </w:p>
    <w:p>
      <w:pPr>
        <w:pStyle w:val="FirstParagraph"/>
      </w:pPr>
      <w:r>
        <w:rPr>
          <w:b/>
          <w:bCs/>
        </w:rPr>
        <w:t xml:space="preserve">Задана IPv4-сеть 172.16.20.0/24.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172.16.20.0/24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t xml:space="preserve">172.16.20.255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10101100.00010000.00010100.00000000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11111111.11111111.11111111.00000000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</w:pPr>
            <w:r>
              <w:t xml:space="preserve">2^8=256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172.16.20.1 - 172.16.20.254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Разбиение на 3 подсети с узлами 126, 62, 62</w:t>
      </w:r>
    </w:p>
    <w:p>
      <w:pPr>
        <w:pStyle w:val="BodyText"/>
      </w:pPr>
      <w:r>
        <w:rPr>
          <w:b/>
          <w:bCs/>
        </w:rPr>
        <w:t xml:space="preserve">Подсеть 1 (на 126 узлов).</w:t>
      </w:r>
    </w:p>
    <w:p>
      <w:pPr>
        <w:pStyle w:val="BodyText"/>
      </w:pPr>
      <w:r>
        <w:t xml:space="preserve">Требуется 126 + 2 = 128 адресов → 2⁷ = 128 → префикс</w:t>
      </w:r>
      <w:r>
        <w:t xml:space="preserve"> </w:t>
      </w:r>
      <w:r>
        <w:rPr>
          <w:rStyle w:val="VerbatimChar"/>
        </w:rPr>
        <w:t xml:space="preserve">/25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11111111.11111111.11111111.10000000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255.255.255.128</w:t>
      </w:r>
      <w:r>
        <w:br/>
      </w:r>
      <w:r>
        <w:t xml:space="preserve">- Адрес подсети:</w:t>
      </w:r>
      <w:r>
        <w:t xml:space="preserve"> </w:t>
      </w:r>
      <w:r>
        <w:rPr>
          <w:rStyle w:val="VerbatimChar"/>
        </w:rPr>
        <w:t xml:space="preserve">172.16.20.0/25</w:t>
      </w:r>
      <w:r>
        <w:br/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172.16.20.126</w:t>
      </w:r>
      <w:r>
        <w:br/>
      </w:r>
      <w:r>
        <w:t xml:space="preserve">- Broadcast:</w:t>
      </w:r>
      <w:r>
        <w:t xml:space="preserve"> </w:t>
      </w:r>
      <w:r>
        <w:rPr>
          <w:rStyle w:val="VerbatimChar"/>
        </w:rPr>
        <w:t xml:space="preserve">172.16.20.127</w:t>
      </w:r>
    </w:p>
    <w:p>
      <w:pPr>
        <w:pStyle w:val="BodyText"/>
      </w:pPr>
      <w:r>
        <w:rPr>
          <w:b/>
          <w:bCs/>
        </w:rPr>
        <w:t xml:space="preserve">Подсеть 2 (на 62 узла).</w:t>
      </w:r>
      <w:r>
        <w:t xml:space="preserve"> </w:t>
      </w:r>
      <w:r>
        <w:t xml:space="preserve">Требуется 62 + 2 = 64 адреса → 2⁶ = 64 → префикс</w:t>
      </w:r>
      <w:r>
        <w:t xml:space="preserve"> </w:t>
      </w:r>
      <w:r>
        <w:rPr>
          <w:rStyle w:val="VerbatimChar"/>
        </w:rPr>
        <w:t xml:space="preserve">/26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11111111.11111111.11111111.11000000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255.255.255.192</w:t>
      </w:r>
      <w:r>
        <w:br/>
      </w:r>
      <w:r>
        <w:t xml:space="preserve">- Адрес подсети:</w:t>
      </w:r>
      <w:r>
        <w:t xml:space="preserve"> </w:t>
      </w:r>
      <w:r>
        <w:rPr>
          <w:rStyle w:val="VerbatimChar"/>
        </w:rPr>
        <w:t xml:space="preserve">172.16.20.128/26</w:t>
      </w:r>
      <w:r>
        <w:t xml:space="preserve"> </w:t>
      </w:r>
      <w:r>
        <w:t xml:space="preserve">(следующий блок после broadcast’а первой подсети)</w:t>
      </w:r>
      <w:r>
        <w:br/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172.16.20.190</w:t>
      </w:r>
      <w:r>
        <w:br/>
      </w:r>
      <w:r>
        <w:t xml:space="preserve">- Broadcast:</w:t>
      </w:r>
      <w:r>
        <w:t xml:space="preserve"> </w:t>
      </w:r>
      <w:r>
        <w:rPr>
          <w:rStyle w:val="VerbatimChar"/>
        </w:rPr>
        <w:t xml:space="preserve">172.16.20.191</w:t>
      </w:r>
    </w:p>
    <w:p>
      <w:pPr>
        <w:pStyle w:val="BodyText"/>
      </w:pPr>
      <w:r>
        <w:rPr>
          <w:b/>
          <w:bCs/>
        </w:rPr>
        <w:t xml:space="preserve">Подсеть 3 (на 62 узла).</w:t>
      </w:r>
      <w:r>
        <w:t xml:space="preserve"> </w:t>
      </w:r>
      <w:r>
        <w:t xml:space="preserve">Требуется 62 + 2 = 64 адреса → префикс</w:t>
      </w:r>
      <w:r>
        <w:t xml:space="preserve"> </w:t>
      </w:r>
      <w:r>
        <w:rPr>
          <w:rStyle w:val="VerbatimChar"/>
        </w:rPr>
        <w:t xml:space="preserve">/26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255.255.255.192</w:t>
      </w:r>
      <w:r>
        <w:br/>
      </w:r>
      <w:r>
        <w:t xml:space="preserve">- Адрес подсети:</w:t>
      </w:r>
      <w:r>
        <w:t xml:space="preserve"> </w:t>
      </w:r>
      <w:r>
        <w:rPr>
          <w:rStyle w:val="VerbatimChar"/>
        </w:rPr>
        <w:t xml:space="preserve">172.16.20.192/26</w:t>
      </w:r>
      <w:r>
        <w:t xml:space="preserve"> </w:t>
      </w:r>
      <w:r>
        <w:t xml:space="preserve">(следующий блок после broadcast’а второй подсети)</w:t>
      </w:r>
      <w:r>
        <w:br/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172.16.20.193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172.16.20.254</w:t>
      </w:r>
      <w:r>
        <w:br/>
      </w:r>
      <w:r>
        <w:t xml:space="preserve">- Broadcast:</w:t>
      </w:r>
      <w:r>
        <w:t xml:space="preserve"> </w:t>
      </w:r>
      <w:r>
        <w:rPr>
          <w:rStyle w:val="VerbatimChar"/>
        </w:rPr>
        <w:t xml:space="preserve">172.16.20.255</w:t>
      </w:r>
    </w:p>
    <w:p>
      <w:pPr>
        <w:pStyle w:val="BodyText"/>
      </w:pPr>
      <w:r>
        <w:rPr>
          <w:b/>
          <w:bCs/>
        </w:rPr>
        <w:t xml:space="preserve">Все подсети не пересекаются и полностью используют адресное пространство исходной сети /24.</w:t>
      </w:r>
    </w:p>
    <w:p>
      <w:pPr>
        <w:pStyle w:val="Compact"/>
        <w:numPr>
          <w:ilvl w:val="0"/>
          <w:numId w:val="1002"/>
        </w:numPr>
      </w:pPr>
      <w:r>
        <w:t xml:space="preserve">Задана сеть 10.10.1.64/26. Для заданной сети определите префикс, маску, broadcast-адрес, число возможных подсетей, диапазон адресов узлов. Выделите в этой сети подсеть на 30 узлов. Запишите характеристики для выделенной подсети.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10.10.1.64/26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t xml:space="preserve">10.10.1.127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00001010.00001010.00000001.01000000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11111111.11111111.11111111.11000000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</w:pPr>
            <w:r>
              <w:t xml:space="preserve">2^6=64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10.10.1.65 - 10.10.1.126</w:t>
            </w:r>
          </w:p>
        </w:tc>
      </w:tr>
    </w:tbl>
    <w:p>
      <w:pPr>
        <w:pStyle w:val="BodyText"/>
      </w:pPr>
      <w:r>
        <w:t xml:space="preserve">Чтобы разбить подсеть на 30 узлов, нужно 30 + 2 = 32 адреса, следовательно маска подсети будет</w:t>
      </w:r>
      <w:r>
        <w:t xml:space="preserve"> </w:t>
      </w:r>
      <w:r>
        <w:rPr>
          <w:rStyle w:val="VerbatimChar"/>
        </w:rPr>
        <w:t xml:space="preserve">11111111.11111111.11111111.11100000 = 255.255.255.224 = /27</w:t>
      </w:r>
      <w:r>
        <w:t xml:space="preserve">. Диапазон адресов:</w:t>
      </w:r>
      <w:r>
        <w:t xml:space="preserve"> </w:t>
      </w:r>
      <w:r>
        <w:rPr>
          <w:rStyle w:val="VerbatimChar"/>
        </w:rPr>
        <w:t xml:space="preserve">10.10.1.65 - 10.10.1.94</w:t>
      </w:r>
      <w:r>
        <w:t xml:space="preserve">. Адрес подсети:</w:t>
      </w:r>
      <w:r>
        <w:t xml:space="preserve"> </w:t>
      </w:r>
      <w:r>
        <w:rPr>
          <w:rStyle w:val="VerbatimChar"/>
        </w:rPr>
        <w:t xml:space="preserve">10.10.1.64</w:t>
      </w:r>
      <w:r>
        <w:t xml:space="preserve">. Широковещательный адрес:</w:t>
      </w:r>
      <w:r>
        <w:t xml:space="preserve"> </w:t>
      </w:r>
      <w:r>
        <w:rPr>
          <w:rStyle w:val="VerbatimChar"/>
        </w:rPr>
        <w:t xml:space="preserve">10.10.1.95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характеристики для выделенной подсети.</w:t>
      </w:r>
    </w:p>
    <w:p>
      <w:pPr>
        <w:pStyle w:val="Compact"/>
        <w:numPr>
          <w:ilvl w:val="0"/>
          <w:numId w:val="1003"/>
        </w:numPr>
      </w:pPr>
      <w:r>
        <w:t xml:space="preserve">Адрес подсети: 10.10.1.64</w:t>
      </w:r>
    </w:p>
    <w:p>
      <w:pPr>
        <w:pStyle w:val="Compact"/>
        <w:numPr>
          <w:ilvl w:val="0"/>
          <w:numId w:val="1003"/>
        </w:numPr>
      </w:pPr>
      <w:r>
        <w:t xml:space="preserve">Маска: 255.255.255.224</w:t>
      </w:r>
    </w:p>
    <w:p>
      <w:pPr>
        <w:pStyle w:val="Compact"/>
        <w:numPr>
          <w:ilvl w:val="0"/>
          <w:numId w:val="1003"/>
        </w:numPr>
      </w:pPr>
      <w:r>
        <w:t xml:space="preserve">Префикс: /27</w:t>
      </w:r>
    </w:p>
    <w:p>
      <w:pPr>
        <w:pStyle w:val="Compact"/>
        <w:numPr>
          <w:ilvl w:val="0"/>
          <w:numId w:val="1003"/>
        </w:numPr>
      </w:pPr>
      <w:r>
        <w:t xml:space="preserve">Broadcast-адрес: 10.10.1.95</w:t>
      </w:r>
    </w:p>
    <w:p>
      <w:pPr>
        <w:pStyle w:val="Compact"/>
        <w:numPr>
          <w:ilvl w:val="0"/>
          <w:numId w:val="1003"/>
        </w:numPr>
      </w:pPr>
      <w:r>
        <w:t xml:space="preserve">Диапазон адресов узлов: 10.10.1.65 – 10.10.1.94</w:t>
      </w:r>
    </w:p>
    <w:p>
      <w:pPr>
        <w:pStyle w:val="Compact"/>
        <w:numPr>
          <w:ilvl w:val="0"/>
          <w:numId w:val="1003"/>
        </w:numPr>
      </w:pPr>
      <w:r>
        <w:t xml:space="preserve">Число узлов: 30</w:t>
      </w:r>
    </w:p>
    <w:p>
      <w:pPr>
        <w:pStyle w:val="Compact"/>
        <w:numPr>
          <w:ilvl w:val="0"/>
          <w:numId w:val="1004"/>
        </w:numPr>
      </w:pPr>
      <w:r>
        <w:t xml:space="preserve">Задана сеть 10.10.1.0/26. Для этой сети определите префикс, маску, broadcast адрес, число возможных подсетей, диапазон адресов узлов. Выделите в этой сети подсеть на 14 узлов. Запишите характеристики для выделенной подсети.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10.10.1.0/26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t xml:space="preserve">10.10.1.63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00001010.00001010.00000001.00000000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11111111.11111111.11111111.11000000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</w:pPr>
            <w:r>
              <w:t xml:space="preserve">2^6=64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10.10.1.1 - 10.10.1.62</w:t>
            </w:r>
          </w:p>
        </w:tc>
      </w:tr>
    </w:tbl>
    <w:p>
      <w:pPr>
        <w:pStyle w:val="BodyText"/>
      </w:pPr>
      <w:r>
        <w:t xml:space="preserve">Чтобы разбить подсеть на 14 узлов, нужно 14 + 2 = 16 адресов, следовательно маска подсети будет</w:t>
      </w:r>
      <w:r>
        <w:t xml:space="preserve"> </w:t>
      </w:r>
      <w:r>
        <w:rPr>
          <w:rStyle w:val="VerbatimChar"/>
        </w:rPr>
        <w:t xml:space="preserve">11111111.11111111.11111111.11110000 = 255.255.255.240 = /28</w:t>
      </w:r>
      <w:r>
        <w:t xml:space="preserve">. Диапазон адресов:</w:t>
      </w:r>
      <w:r>
        <w:t xml:space="preserve"> </w:t>
      </w:r>
      <w:r>
        <w:rPr>
          <w:rStyle w:val="VerbatimChar"/>
        </w:rPr>
        <w:t xml:space="preserve">10.10.1.1 - 10.10.1.14</w:t>
      </w:r>
      <w:r>
        <w:t xml:space="preserve">. Адрес подсети:</w:t>
      </w:r>
      <w:r>
        <w:t xml:space="preserve"> </w:t>
      </w:r>
      <w:r>
        <w:rPr>
          <w:rStyle w:val="VerbatimChar"/>
        </w:rPr>
        <w:t xml:space="preserve">10.10.1.0</w:t>
      </w:r>
      <w:r>
        <w:t xml:space="preserve">. Широковещательный адрес:</w:t>
      </w:r>
      <w:r>
        <w:t xml:space="preserve"> </w:t>
      </w:r>
      <w:r>
        <w:rPr>
          <w:rStyle w:val="VerbatimChar"/>
        </w:rPr>
        <w:t xml:space="preserve">10.10.1.15</w:t>
      </w:r>
      <w:r>
        <w:t xml:space="preserve">.</w:t>
      </w:r>
    </w:p>
    <w:bookmarkEnd w:id="21"/>
    <w:bookmarkStart w:id="22" w:name="разбиение-ipv6-сети-на-подсети"/>
    <w:p>
      <w:pPr>
        <w:pStyle w:val="Heading3"/>
      </w:pPr>
      <w:r>
        <w:t xml:space="preserve">2.1.2 Разбиение IPv6-сети на подсети</w:t>
      </w:r>
    </w:p>
    <w:p>
      <w:pPr>
        <w:pStyle w:val="Compact"/>
        <w:numPr>
          <w:ilvl w:val="0"/>
          <w:numId w:val="1005"/>
        </w:numPr>
      </w:pPr>
      <w:r>
        <w:t xml:space="preserve">Задана сеть 2001:db8:c0de::/48.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 </w:t>
      </w:r>
      <w:r>
        <w:t xml:space="preserve">— адрес из документационного IPv6-пространства</w:t>
      </w:r>
      <w:r>
        <w:t xml:space="preserve"> </w:t>
      </w:r>
      <w:r>
        <w:t xml:space="preserve">(префикс</w:t>
      </w:r>
      <w:r>
        <w:t xml:space="preserve"> </w:t>
      </w:r>
      <w:r>
        <w:rPr>
          <w:rStyle w:val="VerbatimChar"/>
        </w:rPr>
        <w:t xml:space="preserve">2001:db8::/32</w:t>
      </w:r>
      <w:r>
        <w:t xml:space="preserve"> </w:t>
      </w:r>
      <w:r>
        <w:t xml:space="preserve">зарезервирован для примеров и документации).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5"/>
        <w:gridCol w:w="61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2001:db8:c0de::/48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t xml:space="preserve">2001:db8:c0de::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(нотация)</w:t>
            </w:r>
          </w:p>
        </w:tc>
        <w:tc>
          <w:tcPr/>
          <w:p>
            <w:pPr>
              <w:pStyle w:val="Compact"/>
            </w:pPr>
            <w:r>
              <w:t xml:space="preserve">/48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2001:db8:c0de:0000:0000:0000:0000:0000 – 2001:db8:c0de:ffff:ffff:ffff:ffff:ffff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 1: разбиение с использованием идентификатора подсети (Subnet ID).</w:t>
      </w:r>
    </w:p>
    <w:p>
      <w:pPr>
        <w:pStyle w:val="BodyText"/>
      </w:pPr>
      <w:r>
        <w:t xml:space="preserve">Исходный префикс сети — /48.</w:t>
      </w:r>
      <w:r>
        <w:t xml:space="preserve"> </w:t>
      </w:r>
      <w:r>
        <w:t xml:space="preserve">Для разбиения сети на 2 подсети используется 1 старший бит из 16-битного поля Subnet ID, следующего за префиксом глобальной маршрутизации. В результате длина префикса увеличивается до /49.</w:t>
      </w:r>
      <w:r>
        <w:t xml:space="preserve"> </w:t>
      </w:r>
      <w:r>
        <w:t xml:space="preserve">Последние 64 бита остаются идентификатором интерфейса узла.</w:t>
      </w:r>
    </w:p>
    <w:p>
      <w:pPr>
        <w:pStyle w:val="Compact"/>
        <w:numPr>
          <w:ilvl w:val="0"/>
          <w:numId w:val="1006"/>
        </w:numPr>
      </w:pPr>
      <w:r>
        <w:t xml:space="preserve">Подсеть A: 2001:db8:c0de:0000::/49</w:t>
      </w:r>
    </w:p>
    <w:p>
      <w:pPr>
        <w:pStyle w:val="Compact"/>
        <w:numPr>
          <w:ilvl w:val="0"/>
          <w:numId w:val="1006"/>
        </w:numPr>
      </w:pPr>
      <w:r>
        <w:t xml:space="preserve">Подсеть B: 2001:db8:c0de:8000::/49</w:t>
      </w:r>
    </w:p>
    <w:p>
      <w:pPr>
        <w:pStyle w:val="FirstParagraph"/>
      </w:pPr>
      <w:r>
        <w:rPr>
          <w:b/>
          <w:bCs/>
        </w:rPr>
        <w:t xml:space="preserve">значение старшего бита Subnet ID равно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для первой подсети 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для второй, что делит адресное пространство /48 на две равные части.</w:t>
      </w:r>
    </w:p>
    <w:p>
      <w:pPr>
        <w:pStyle w:val="BodyText"/>
      </w:pPr>
      <w:r>
        <w:rPr>
          <w:b/>
          <w:bCs/>
        </w:rPr>
        <w:t xml:space="preserve">Способ 2: разбиение с использованием идентификатора интерфейса (Interface ID).</w:t>
      </w:r>
    </w:p>
    <w:p>
      <w:pPr>
        <w:pStyle w:val="BodyText"/>
      </w:pPr>
      <w:r>
        <w:t xml:space="preserve">В этом способе сначала выбирается одна стандартная подсеть /64 из исходной сети, например:</w:t>
      </w:r>
    </w:p>
    <w:p>
      <w:pPr>
        <w:pStyle w:val="SourceCode"/>
      </w:pPr>
      <w:r>
        <w:rPr>
          <w:rStyle w:val="VerbatimChar"/>
        </w:rPr>
        <w:t xml:space="preserve">2001:db8:c0de:0000::/64</w:t>
      </w:r>
    </w:p>
    <w:p>
      <w:pPr>
        <w:pStyle w:val="FirstParagraph"/>
      </w:pPr>
      <w:r>
        <w:t xml:space="preserve">Для получения 2 подсетей используется 1 бит из 64-битного поля Interface ID. Длина префикса увеличивается с /64 до /65, при этом размер идентификатора интерфейса уменьшается с 64 до 63 бит.</w:t>
      </w:r>
    </w:p>
    <w:p>
      <w:pPr>
        <w:pStyle w:val="Compact"/>
        <w:numPr>
          <w:ilvl w:val="0"/>
          <w:numId w:val="1007"/>
        </w:numPr>
      </w:pPr>
      <w:r>
        <w:t xml:space="preserve">Подсеть 1: 2001:db8:c0de:0000::/65</w:t>
      </w:r>
    </w:p>
    <w:p>
      <w:pPr>
        <w:pStyle w:val="Compact"/>
        <w:numPr>
          <w:ilvl w:val="0"/>
          <w:numId w:val="1007"/>
        </w:numPr>
      </w:pPr>
      <w:r>
        <w:t xml:space="preserve">Подсеть 2: 2001:db8:c0de:0000:8000::/65</w:t>
      </w:r>
    </w:p>
    <w:p>
      <w:pPr>
        <w:pStyle w:val="FirstParagraph"/>
      </w:pPr>
      <w:r>
        <w:rPr>
          <w:b/>
          <w:bCs/>
        </w:rPr>
        <w:t xml:space="preserve">первый бит Interface ID принимает значение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или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, что приводит к разделению одной подсети /64 на две равные подсети /65.</w:t>
      </w:r>
    </w:p>
    <w:p>
      <w:pPr>
        <w:pStyle w:val="Compact"/>
        <w:numPr>
          <w:ilvl w:val="0"/>
          <w:numId w:val="1008"/>
        </w:numPr>
      </w:pPr>
      <w:r>
        <w:t xml:space="preserve">Задана сеть 2a02:6b8::/64.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— глобальный unicast IPv6-адрес (публично маршрутизируемое адресное пространство, префикс</w:t>
      </w:r>
      <w:r>
        <w:t xml:space="preserve"> </w:t>
      </w:r>
      <w:r>
        <w:rPr>
          <w:rStyle w:val="VerbatimChar"/>
        </w:rPr>
        <w:t xml:space="preserve">2000::/3</w:t>
      </w:r>
      <w:r>
        <w:t xml:space="preserve">).</w:t>
      </w:r>
      <w:r>
        <w:br/>
      </w:r>
      <w:r>
        <w:t xml:space="preserve">Первые 64 бита фиксированы и образуют префикс сети, оставшиеся 64 бита используются в качестве идентификатора интерфейса узла (Interface ID).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61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2a02:6b8::/64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t xml:space="preserve">2a02:6b8:0000:0000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(нотация)</w:t>
            </w:r>
          </w:p>
        </w:tc>
        <w:tc>
          <w:tcPr/>
          <w:p>
            <w:pPr>
              <w:pStyle w:val="Compact"/>
            </w:pPr>
            <w:r>
              <w:t xml:space="preserve">ffff:ffff:ffff:ffff:0000:0000:0000:0000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2a02:6b8:0000:0000:0000:0000:0000:0000 – 2a02:6b8:0000:0000:ffff:ffff:ffff:ffff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 1: разбиение с использованием идентификатора подсети (Subnet ID).</w:t>
      </w:r>
    </w:p>
    <w:p>
      <w:pPr>
        <w:pStyle w:val="BodyText"/>
      </w:pPr>
      <w:r>
        <w:t xml:space="preserve">При данном подходе следующий за префиксом /64 бит интерпретируется как начало идентификатора подсети. Для получения 2 подсетей используется 1 дополнительный бит, что увеличивает длину префикса до /65.</w:t>
      </w:r>
    </w:p>
    <w:p>
      <w:pPr>
        <w:pStyle w:val="Compact"/>
        <w:numPr>
          <w:ilvl w:val="0"/>
          <w:numId w:val="1009"/>
        </w:numPr>
      </w:pPr>
      <w:r>
        <w:t xml:space="preserve">Подсеть A: 2a02:6b8::/65</w:t>
      </w:r>
    </w:p>
    <w:p>
      <w:pPr>
        <w:pStyle w:val="Compact"/>
        <w:numPr>
          <w:ilvl w:val="0"/>
          <w:numId w:val="1009"/>
        </w:numPr>
      </w:pPr>
      <w:r>
        <w:t xml:space="preserve">Подсеть B: 2a02:6b8:8000::/65</w:t>
      </w:r>
    </w:p>
    <w:p>
      <w:pPr>
        <w:pStyle w:val="FirstParagraph"/>
      </w:pPr>
      <w:r>
        <w:t xml:space="preserve">старший бит в части адреса, следующей за исходным 64-битным префиксом, принимает значение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(подсеть A) или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(подсеть B), что логически разделяет пространство на две равные части.</w:t>
      </w:r>
    </w:p>
    <w:p>
      <w:pPr>
        <w:pStyle w:val="BodyText"/>
      </w:pPr>
      <w:r>
        <w:rPr>
          <w:b/>
          <w:bCs/>
        </w:rPr>
        <w:t xml:space="preserve">Способ 2: разбиение с использованием идентификатора интерфейса (Interface ID).</w:t>
      </w:r>
    </w:p>
    <w:p>
      <w:pPr>
        <w:pStyle w:val="BodyText"/>
      </w:pPr>
      <w:r>
        <w:t xml:space="preserve">В этом способе разбиение выполняется за счёт поля идентификатора интерфейса. Для получения 2 подсетей используется 1 бит из 64-битного Interface ID, что увеличивает длину префикса с /64 до /65 и уменьшает размер идентификатора интерфейса до 63 бит.</w:t>
      </w:r>
    </w:p>
    <w:p>
      <w:pPr>
        <w:pStyle w:val="Compact"/>
        <w:numPr>
          <w:ilvl w:val="0"/>
          <w:numId w:val="1010"/>
        </w:numPr>
      </w:pPr>
      <w:r>
        <w:t xml:space="preserve">Подсеть 1: 2a02:6b8::/65</w:t>
      </w:r>
    </w:p>
    <w:p>
      <w:pPr>
        <w:pStyle w:val="Compact"/>
        <w:numPr>
          <w:ilvl w:val="0"/>
          <w:numId w:val="1010"/>
        </w:numPr>
      </w:pPr>
      <w:r>
        <w:t xml:space="preserve">Подсеть 2: 2a02:6b8:8000::/65</w:t>
      </w:r>
    </w:p>
    <w:p>
      <w:pPr>
        <w:pStyle w:val="FirstParagraph"/>
      </w:pPr>
      <w:r>
        <w:t xml:space="preserve">первый бит идентификатора интерфейса (65-й бит полного адреса)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для первой подсети и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для второй. Это делит адресное пространство исходной сети /64 на две равные подсети /65, уменьшая поле для адресации узлов.</w:t>
      </w:r>
    </w:p>
    <w:p>
      <w:pPr>
        <w:pStyle w:val="BodyText"/>
      </w:pPr>
      <w:r>
        <w:t xml:space="preserve">Ключевое отличие в пояснениях: В первом способе акцент на</w:t>
      </w:r>
      <w:r>
        <w:t xml:space="preserve"> </w:t>
      </w:r>
      <w:r>
        <w:rPr>
          <w:i/>
          <w:iCs/>
        </w:rPr>
        <w:t xml:space="preserve">логическом расширении префикса сети</w:t>
      </w:r>
      <w:r>
        <w:t xml:space="preserve">, во втором — на</w:t>
      </w:r>
      <w:r>
        <w:t xml:space="preserve"> </w:t>
      </w:r>
      <w:r>
        <w:rPr>
          <w:i/>
          <w:iCs/>
        </w:rPr>
        <w:t xml:space="preserve">заимствовании бит из поля узла (Interface ID)</w:t>
      </w:r>
      <w:r>
        <w:t xml:space="preserve">, что соответствует разным подходам к проектированию иерархии, описанным в методичке.</w:t>
      </w:r>
    </w:p>
    <w:bookmarkEnd w:id="22"/>
    <w:bookmarkEnd w:id="23"/>
    <w:bookmarkStart w:id="92" w:name="Xaa98339a1bc9a01348fb7b4bcd912a06bb3c57d"/>
    <w:p>
      <w:pPr>
        <w:pStyle w:val="Heading2"/>
      </w:pPr>
      <w:r>
        <w:t xml:space="preserve">2.2 Настройка двойного стека адресации IPv4 и IPv6 в локальной сети</w:t>
      </w:r>
    </w:p>
    <w:p>
      <w:pPr>
        <w:pStyle w:val="Compact"/>
        <w:numPr>
          <w:ilvl w:val="0"/>
          <w:numId w:val="1011"/>
        </w:numPr>
      </w:pPr>
      <w:r>
        <w:t xml:space="preserve">Запущены</w:t>
      </w:r>
      <w:r>
        <w:t xml:space="preserve"> </w:t>
      </w:r>
      <w:r>
        <w:rPr>
          <w:b/>
          <w:bCs/>
        </w:rPr>
        <w:t xml:space="preserve">GNS3 VM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GNS3</w:t>
      </w:r>
      <w:r>
        <w:t xml:space="preserve">, после чего создан новый проект. В рабочем пространстве размещены и соединены устройства строго в соответствии с заданной топологией: для подсети IPv4 используется маршрутизатор FRR, для подсети IPv6 — маршрутизатор VyOS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Имена устройств изменены по установленному шаблону: коммутаторы —</w:t>
      </w:r>
      <w:r>
        <w:t xml:space="preserve"> </w:t>
      </w:r>
      <w:r>
        <w:rPr>
          <w:rStyle w:val="VerbatimChar"/>
        </w:rPr>
        <w:t xml:space="preserve">msk-bahis-sw-0x</w:t>
      </w:r>
      <w:r>
        <w:t xml:space="preserve">, маршрутизаторы —</w:t>
      </w:r>
      <w:r>
        <w:t xml:space="preserve"> </w:t>
      </w:r>
      <w:r>
        <w:rPr>
          <w:rStyle w:val="VerbatimChar"/>
        </w:rPr>
        <w:t xml:space="preserve">msk-bahis-gw-0x</w:t>
      </w:r>
      <w:r>
        <w:t xml:space="preserve">, узлы VPCS —</w:t>
      </w:r>
      <w:r>
        <w:t xml:space="preserve"> </w:t>
      </w:r>
      <w:r>
        <w:rPr>
          <w:rStyle w:val="VerbatimChar"/>
        </w:rPr>
        <w:t xml:space="preserve">PCx-bahis</w:t>
      </w:r>
      <w:r>
        <w:t xml:space="preserve">. На соединении между сервером с двойной адресацией и ближайшим к нему коммутатором включён захват трафика для последующего анализа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1"/>
          <w:p>
            <w:pPr>
              <w:pStyle w:val="Compact"/>
              <w:jc w:val="center"/>
            </w:pPr>
            <w:r>
              <w:drawing>
                <wp:inline>
                  <wp:extent cx="3733800" cy="1828962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8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IPv4 и IPv6 в GNS3 с маршрутизаторами FRR и VyOS</w:t>
            </w:r>
          </w:p>
          <w:bookmarkEnd w:id="27"/>
        </w:tc>
      </w:tr>
    </w:tbl>
    <w:p>
      <w:pPr>
        <w:pStyle w:val="Compact"/>
        <w:numPr>
          <w:ilvl w:val="0"/>
          <w:numId w:val="1012"/>
        </w:numPr>
      </w:pPr>
      <w:r>
        <w:t xml:space="preserve">Настроена IPv4-адресация на узле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в соответствии с таблицей адресации: назначен адрес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, после чего конфигурация сохранена и проверена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 Вывод подтверждает корректную установку IPv4-адреса и наличие только link-local IPv6-адреса, что соответствует условиям задания.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2"/>
          <w:p>
            <w:pPr>
              <w:pStyle w:val="Compact"/>
              <w:jc w:val="center"/>
            </w:pPr>
            <w:r>
              <w:drawing>
                <wp:inline>
                  <wp:extent cx="3733800" cy="525597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55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и проверка IPv4/IPv6 адресации узла PC1</w:t>
            </w:r>
          </w:p>
          <w:bookmarkEnd w:id="31"/>
        </w:tc>
      </w:tr>
    </w:tbl>
    <w:p>
      <w:pPr>
        <w:pStyle w:val="Compact"/>
        <w:numPr>
          <w:ilvl w:val="0"/>
          <w:numId w:val="1013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t xml:space="preserve">выполнена настройка IPv4-адреса</w:t>
      </w:r>
      <w:r>
        <w:t xml:space="preserve"> </w:t>
      </w:r>
      <w:r>
        <w:rPr>
          <w:rStyle w:val="VerbatimChar"/>
        </w:rPr>
        <w:t xml:space="preserve">172.16.20.138/25</w:t>
      </w:r>
      <w:r>
        <w:t xml:space="preserve"> </w:t>
      </w:r>
      <w:r>
        <w:t xml:space="preserve">с указанием шлюза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. Конфигурация сохранена, после чего параметры сети проверены с помощью команд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 Результаты вывода подтверждают правильность адресации IPv4 и автоматическое формирование IPv6 link-local адреса.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3"/>
          <w:p>
            <w:pPr>
              <w:pStyle w:val="Compact"/>
              <w:jc w:val="center"/>
            </w:pPr>
            <w:r>
              <w:drawing>
                <wp:inline>
                  <wp:extent cx="3733800" cy="490584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и проверка IPv4/IPv6 адресации узла PC2</w:t>
            </w:r>
          </w:p>
          <w:bookmarkEnd w:id="35"/>
        </w:tc>
      </w:tr>
    </w:tbl>
    <w:p>
      <w:pPr>
        <w:pStyle w:val="Compact"/>
        <w:numPr>
          <w:ilvl w:val="0"/>
          <w:numId w:val="1014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настроен IPv4-адрес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 </w:t>
      </w:r>
      <w:r>
        <w:t xml:space="preserve">с шлюзом по умолчанию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. После сохранения конфигурации выполнена проверка сетевых параметров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которая подтверждает корректное назначение адреса и шлюза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391547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15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IPv4 адресации сервера двойного стека</w:t>
            </w:r>
          </w:p>
          <w:bookmarkEnd w:id="39"/>
        </w:tc>
      </w:tr>
    </w:tbl>
    <w:p>
      <w:pPr>
        <w:pStyle w:val="Compact"/>
        <w:numPr>
          <w:ilvl w:val="0"/>
          <w:numId w:val="1015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FRR msk-bahis-gw-01</w:t>
      </w:r>
      <w:r>
        <w:t xml:space="preserve"> </w:t>
      </w:r>
      <w:r>
        <w:t xml:space="preserve">выполнена настройка IPv4-адресации интерфейсов локальной сети в соответствии с таблицей адресации. Интерфейсу</w:t>
      </w:r>
      <w:r>
        <w:t xml:space="preserve"> </w:t>
      </w:r>
      <w:r>
        <w:rPr>
          <w:b/>
          <w:bCs/>
        </w:rPr>
        <w:t xml:space="preserve">eth0</w:t>
      </w:r>
      <w:r>
        <w:t xml:space="preserve"> </w:t>
      </w:r>
      <w:r>
        <w:t xml:space="preserve">назначен адрес</w:t>
      </w:r>
      <w:r>
        <w:t xml:space="preserve"> </w:t>
      </w:r>
      <w:r>
        <w:rPr>
          <w:rStyle w:val="VerbatimChar"/>
        </w:rPr>
        <w:t xml:space="preserve">172.16.20.1/25</w:t>
      </w:r>
      <w:r>
        <w:t xml:space="preserve">, интерфейсу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172.16.20.129/25</w:t>
      </w:r>
      <w:r>
        <w:t xml:space="preserve">, интерфейсу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64.100.1.1/24</w:t>
      </w:r>
      <w:r>
        <w:t xml:space="preserve">, после чего все интерфейсы были переведены в активное состояние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 Конфигурация маршрутизатора сохранена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, что подтверждает корректное применение настроек.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5"/>
          <w:p>
            <w:pPr>
              <w:pStyle w:val="Compact"/>
              <w:jc w:val="center"/>
            </w:pPr>
            <w:r>
              <w:drawing>
                <wp:inline>
                  <wp:extent cx="3733800" cy="271854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8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IPv4-адресации интерфейсов маршрутизатора FRR msk-bahis-gw-01</w:t>
            </w:r>
          </w:p>
          <w:bookmarkEnd w:id="43"/>
        </w:tc>
      </w:tr>
    </w:tbl>
    <w:p>
      <w:pPr>
        <w:pStyle w:val="Compact"/>
        <w:numPr>
          <w:ilvl w:val="0"/>
          <w:numId w:val="1016"/>
        </w:numPr>
      </w:pPr>
      <w:r>
        <w:t xml:space="preserve">Выполнена проверка конфигурации маршрутизатора</w:t>
      </w:r>
      <w:r>
        <w:t xml:space="preserve"> </w:t>
      </w:r>
      <w:r>
        <w:rPr>
          <w:b/>
          <w:bCs/>
        </w:rPr>
        <w:t xml:space="preserve">msk-bahis-gw-01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подтверждено наличие настроенных IPv4-адресов на интерфейсах</w:t>
      </w:r>
      <w:r>
        <w:t xml:space="preserve"> </w:t>
      </w:r>
      <w:r>
        <w:rPr>
          <w:b/>
          <w:bCs/>
        </w:rPr>
        <w:t xml:space="preserve">eth0</w:t>
      </w:r>
      <w:r>
        <w:t xml:space="preserve">,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в полном соответствии с таблицей адресации, а также корректное имя устройства и использование интегрированной конфигурации FRR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 Дополнительно командой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 </w:t>
      </w:r>
      <w:r>
        <w:t xml:space="preserve">проверено состояние интерфейсов: интерфейсы</w:t>
      </w:r>
      <w:r>
        <w:t xml:space="preserve"> </w:t>
      </w:r>
      <w:r>
        <w:rPr>
          <w:b/>
          <w:bCs/>
        </w:rPr>
        <w:t xml:space="preserve">eth0</w:t>
      </w:r>
      <w:r>
        <w:t xml:space="preserve">,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находятся в состоянии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и имеют назначенные IPv4-адреса, что подтверждает корректность настройки и готовность маршрутизатора к передаче трафика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6"/>
          <w:p>
            <w:pPr>
              <w:pStyle w:val="Compact"/>
              <w:jc w:val="center"/>
            </w:pPr>
            <w:r>
              <w:drawing>
                <wp:inline>
                  <wp:extent cx="3733800" cy="345403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4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Вывод команды show running-config на маршрутизаторе FRR msk-bahis-gw-01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7"/>
          <w:p>
            <w:pPr>
              <w:pStyle w:val="Compact"/>
              <w:jc w:val="center"/>
            </w:pPr>
            <w:r>
              <w:drawing>
                <wp:inline>
                  <wp:extent cx="3733800" cy="196919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9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Состояние интерфейсов и IPv4-адресация маршрутизатора FRR msk-bahis-gw-01</w:t>
            </w:r>
          </w:p>
          <w:bookmarkEnd w:id="51"/>
        </w:tc>
      </w:tr>
    </w:tbl>
    <w:p>
      <w:pPr>
        <w:pStyle w:val="Compact"/>
        <w:numPr>
          <w:ilvl w:val="0"/>
          <w:numId w:val="1017"/>
        </w:numPr>
      </w:pPr>
      <w:r>
        <w:t xml:space="preserve">С узла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t xml:space="preserve">выполнена проверка связности с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и сервером двойного стека с использованием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. Эхо-запросы к узлу</w:t>
      </w:r>
      <w:r>
        <w:t xml:space="preserve"> </w:t>
      </w:r>
      <w:r>
        <w:rPr>
          <w:b/>
          <w:bCs/>
        </w:rPr>
        <w:t xml:space="preserve">PC1 (172.16.20.10)</w:t>
      </w:r>
      <w:r>
        <w:t xml:space="preserve"> </w:t>
      </w:r>
      <w:r>
        <w:t xml:space="preserve">успешно доставляются, что подтверждается получением ICMP-ответов без потерь, а трассировка показывает прохождение трафика через шлюз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 </w:t>
      </w:r>
      <w:r>
        <w:t xml:space="preserve">с достижением конечного узла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 Аналогично, узел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t xml:space="preserve">успешно обменивается ICMP-пакетами с сервером двойного стека</w:t>
      </w:r>
      <w:r>
        <w:t xml:space="preserve"> </w:t>
      </w:r>
      <w:r>
        <w:rPr>
          <w:b/>
          <w:bCs/>
        </w:rPr>
        <w:t xml:space="preserve">64.100.1.10</w:t>
      </w:r>
      <w:r>
        <w:t xml:space="preserve">, а вывод команды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подтверждает корректный маршрут через интерфейс маршрутизатора FRR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8"/>
          <w:p>
            <w:pPr>
              <w:pStyle w:val="Compact"/>
              <w:jc w:val="center"/>
            </w:pPr>
            <w:r>
              <w:drawing>
                <wp:inline>
                  <wp:extent cx="3733800" cy="171723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7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связности PC2 с PC1 и анализ маршрута с помощью ping и trace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9"/>
          <w:p>
            <w:pPr>
              <w:pStyle w:val="Compact"/>
              <w:jc w:val="center"/>
            </w:pPr>
            <w:r>
              <w:drawing>
                <wp:inline>
                  <wp:extent cx="3733800" cy="250864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8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связности PC2 с сервером двойного стека и трассировка маршрута</w:t>
            </w:r>
          </w:p>
          <w:bookmarkEnd w:id="59"/>
        </w:tc>
      </w:tr>
    </w:tbl>
    <w:p>
      <w:pPr>
        <w:pStyle w:val="Compact"/>
        <w:numPr>
          <w:ilvl w:val="0"/>
          <w:numId w:val="1018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выполнена настройка IPv6-адресации в соответствии с таблицей адресации: назначен глобальный адрес</w:t>
      </w:r>
      <w:r>
        <w:t xml:space="preserve"> </w:t>
      </w:r>
      <w:r>
        <w:rPr>
          <w:rStyle w:val="VerbatimChar"/>
        </w:rPr>
        <w:t xml:space="preserve">2001:db8:c0de:11::a/64</w:t>
      </w:r>
      <w:r>
        <w:t xml:space="preserve">, после чего конфигурация сохранена. Проверка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сохранение ранее настроенного IPv4-адреса и корректное добавление глобального IPv6-адреса вместе с link-local адресом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0"/>
          <w:p>
            <w:pPr>
              <w:pStyle w:val="Compact"/>
              <w:jc w:val="center"/>
            </w:pPr>
            <w:r>
              <w:drawing>
                <wp:inline>
                  <wp:extent cx="3733800" cy="169505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5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и проверка IPv6-адресации сервера двойного стека</w:t>
            </w:r>
          </w:p>
          <w:bookmarkEnd w:id="63"/>
        </w:tc>
      </w:tr>
    </w:tbl>
    <w:p>
      <w:pPr>
        <w:pStyle w:val="Compact"/>
        <w:numPr>
          <w:ilvl w:val="0"/>
          <w:numId w:val="1019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PC3</w:t>
      </w:r>
      <w:r>
        <w:t xml:space="preserve"> </w:t>
      </w:r>
      <w:r>
        <w:t xml:space="preserve">настроен IPv6-адрес</w:t>
      </w:r>
      <w:r>
        <w:t xml:space="preserve"> </w:t>
      </w:r>
      <w:r>
        <w:rPr>
          <w:rStyle w:val="VerbatimChar"/>
        </w:rPr>
        <w:t xml:space="preserve">2001:db8:c0de:12::a/64</w:t>
      </w:r>
      <w:r>
        <w:t xml:space="preserve"> </w:t>
      </w:r>
      <w:r>
        <w:t xml:space="preserve">и выполнено сохранение конфигурации. Вывод команды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показывает отсутствие IPv4-адреса, а команда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наличие глобального IPv6-адреса и автоматически сформированного link-local адреса, что соответствует заданным условиям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11"/>
          <w:p>
            <w:pPr>
              <w:pStyle w:val="Compact"/>
              <w:jc w:val="center"/>
            </w:pPr>
            <w:r>
              <w:drawing>
                <wp:inline>
                  <wp:extent cx="3733800" cy="467452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74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и проверка IPv6-адресации узла PC3</w:t>
            </w:r>
          </w:p>
          <w:bookmarkEnd w:id="67"/>
        </w:tc>
      </w:tr>
    </w:tbl>
    <w:p>
      <w:pPr>
        <w:pStyle w:val="Compact"/>
        <w:numPr>
          <w:ilvl w:val="0"/>
          <w:numId w:val="1020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PC4</w:t>
      </w:r>
      <w:r>
        <w:t xml:space="preserve"> </w:t>
      </w:r>
      <w:r>
        <w:t xml:space="preserve">выполнена настройка IPv6-адреса</w:t>
      </w:r>
      <w:r>
        <w:t xml:space="preserve"> </w:t>
      </w:r>
      <w:r>
        <w:rPr>
          <w:rStyle w:val="VerbatimChar"/>
        </w:rPr>
        <w:t xml:space="preserve">2001:db8:c0de:13::a/64</w:t>
      </w:r>
      <w:r>
        <w:t xml:space="preserve"> </w:t>
      </w:r>
      <w:r>
        <w:t xml:space="preserve">с последующим сохранением конфигурации. Проверка конфигурации показывает отсутствие IPv4-адреса и корректное назначение глобального IPv6-адреса, а также наличие link-local адреса интерфейса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2"/>
          <w:p>
            <w:pPr>
              <w:pStyle w:val="Compact"/>
              <w:jc w:val="center"/>
            </w:pPr>
            <w:r>
              <w:drawing>
                <wp:inline>
                  <wp:extent cx="3733800" cy="454590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45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и проверка IPv6-адресации узла PC4</w:t>
            </w:r>
          </w:p>
          <w:bookmarkEnd w:id="71"/>
        </w:tc>
      </w:tr>
    </w:tbl>
    <w:p>
      <w:pPr>
        <w:pStyle w:val="Compact"/>
        <w:numPr>
          <w:ilvl w:val="0"/>
          <w:numId w:val="1021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VyOS</w:t>
      </w:r>
      <w:r>
        <w:t xml:space="preserve"> </w:t>
      </w:r>
      <w:r>
        <w:t xml:space="preserve">выполнён переход в режим конфигурирования и изменено имя устройства на</w:t>
      </w:r>
      <w:r>
        <w:t xml:space="preserve"> </w:t>
      </w:r>
      <w:r>
        <w:rPr>
          <w:rStyle w:val="VerbatimChar"/>
        </w:rPr>
        <w:t xml:space="preserve">msk-bahis-gw-02</w:t>
      </w:r>
      <w:r>
        <w:t xml:space="preserve">. Корректность внесённых изменений проверена командой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, после чего конфигурация применена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 сохранена в файл конфигурации</w:t>
      </w:r>
      <w:r>
        <w:t xml:space="preserve"> </w:t>
      </w:r>
      <w:r>
        <w:rPr>
          <w:rStyle w:val="VerbatimChar"/>
        </w:rPr>
        <w:t xml:space="preserve">config.boot</w:t>
      </w:r>
      <w:r>
        <w:t xml:space="preserve">. Завершением этапа стала перезагрузка маршрутизатора для применения нового имени хоста на уровне системы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3"/>
          <w:p>
            <w:pPr>
              <w:pStyle w:val="Compact"/>
              <w:jc w:val="center"/>
            </w:pPr>
            <w:r>
              <w:drawing>
                <wp:inline>
                  <wp:extent cx="3733800" cy="152792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7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Изменение имени маршрутизатора VyOS и сохранение конфигурации</w:t>
            </w:r>
          </w:p>
          <w:bookmarkEnd w:id="75"/>
        </w:tc>
      </w:tr>
    </w:tbl>
    <w:p>
      <w:pPr>
        <w:pStyle w:val="Compact"/>
        <w:numPr>
          <w:ilvl w:val="0"/>
          <w:numId w:val="1022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msk-bahis-gw-02 (VyOS)</w:t>
      </w:r>
      <w:r>
        <w:t xml:space="preserve"> </w:t>
      </w:r>
      <w:r>
        <w:t xml:space="preserve">выполнена настройка IPv6-адресации интерфейсов локальной сети. В режиме конфигурирования интерфейсам</w:t>
      </w:r>
      <w:r>
        <w:t xml:space="preserve"> </w:t>
      </w:r>
      <w:r>
        <w:rPr>
          <w:b/>
          <w:bCs/>
        </w:rPr>
        <w:t xml:space="preserve">eth0</w:t>
      </w:r>
      <w:r>
        <w:t xml:space="preserve">,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назначены IPv6-адреса</w:t>
      </w:r>
      <w:r>
        <w:t xml:space="preserve"> </w:t>
      </w:r>
      <w:r>
        <w:rPr>
          <w:rStyle w:val="VerbatimChar"/>
        </w:rPr>
        <w:t xml:space="preserve">2001:db8:c0de:12::1/64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2001:db8:c0de:13::1/64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2001:db8:c0de:11::1/64</w:t>
      </w:r>
      <w:r>
        <w:t xml:space="preserve"> </w:t>
      </w:r>
      <w:r>
        <w:t xml:space="preserve">соответственно, а также включена рассылка Router Advertisement для каждого интерфейса с соответствующими префиксами, что обеспечивает автоматическую конфигурацию узлов в подсетях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 Конфигурация применена и сохранена командами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 после чего корректность назначения адресов подтверждена выводом команды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, где отображаются заданные IPv6-адреса на всех интерфейсах маршрутизатора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4"/>
          <w:p>
            <w:pPr>
              <w:pStyle w:val="Compact"/>
              <w:jc w:val="center"/>
            </w:pPr>
            <w:r>
              <w:drawing>
                <wp:inline>
                  <wp:extent cx="3733800" cy="309944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9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Назначение IPv6-адресов и настройка Router Advertisement на маршрутизаторе VyOS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5"/>
          <w:p>
            <w:pPr>
              <w:pStyle w:val="Compact"/>
              <w:jc w:val="center"/>
            </w:pPr>
            <w:r>
              <w:drawing>
                <wp:inline>
                  <wp:extent cx="3733800" cy="428288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82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IPv6-адресации интерфейсов маршрутизатора VyOS командой show interfaces</w:t>
            </w:r>
          </w:p>
          <w:bookmarkEnd w:id="83"/>
        </w:tc>
      </w:tr>
    </w:tbl>
    <w:p>
      <w:pPr>
        <w:pStyle w:val="Compact"/>
        <w:numPr>
          <w:ilvl w:val="0"/>
          <w:numId w:val="1023"/>
        </w:numPr>
      </w:pPr>
      <w:r>
        <w:t xml:space="preserve">В захваченном трафике на соединении сервера двойного стека с коммутатором фиксируются</w:t>
      </w:r>
      <w:r>
        <w:t xml:space="preserve"> </w:t>
      </w:r>
      <w:r>
        <w:rPr>
          <w:b/>
          <w:bCs/>
        </w:rPr>
        <w:t xml:space="preserve">ICMP-пакеты IPv4</w:t>
      </w:r>
      <w:r>
        <w:t xml:space="preserve">, отражающие проверку связности между узлами IPv4-подсети и сервером. Наблюдаются запросы</w:t>
      </w:r>
      <w:r>
        <w:t xml:space="preserve"> </w:t>
      </w:r>
      <w:r>
        <w:rPr>
          <w:i/>
          <w:iCs/>
        </w:rPr>
        <w:t xml:space="preserve">Echo (ping) request</w:t>
      </w:r>
      <w:r>
        <w:t xml:space="preserve"> </w:t>
      </w:r>
      <w:r>
        <w:t xml:space="preserve">и соответствующие</w:t>
      </w:r>
      <w:r>
        <w:t xml:space="preserve"> </w:t>
      </w:r>
      <w:r>
        <w:rPr>
          <w:i/>
          <w:iCs/>
        </w:rPr>
        <w:t xml:space="preserve">Echo (ping) reply</w:t>
      </w:r>
      <w:r>
        <w:t xml:space="preserve">, что подтверждает успешный обмен ICMP-сообщениями между адресами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172.16.20.138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. Также зафиксированы сообщения</w:t>
      </w:r>
      <w:r>
        <w:t xml:space="preserve"> </w:t>
      </w:r>
      <w:r>
        <w:rPr>
          <w:i/>
          <w:iCs/>
        </w:rPr>
        <w:t xml:space="preserve">Destination unreachable (Port unreachable)</w:t>
      </w:r>
      <w:r>
        <w:t xml:space="preserve">, указывающие на недоступность определённых сервисов или направлений, что соответствует логике изоляции подсетей (</w:t>
      </w:r>
      <w:hyperlink w:anchor="fig-24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24"/>
          <w:p>
            <w:pPr>
              <w:pStyle w:val="Compact"/>
              <w:jc w:val="center"/>
            </w:pPr>
            <w:r>
              <w:drawing>
                <wp:inline>
                  <wp:extent cx="3733800" cy="274467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4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ICMP-трафик IPv4 между сервером двойного стека и узлами подсети</w:t>
            </w:r>
          </w:p>
          <w:bookmarkEnd w:id="87"/>
        </w:tc>
      </w:tr>
    </w:tbl>
    <w:p>
      <w:pPr>
        <w:pStyle w:val="Compact"/>
        <w:numPr>
          <w:ilvl w:val="0"/>
          <w:numId w:val="1024"/>
        </w:numPr>
      </w:pPr>
      <w:r>
        <w:t xml:space="preserve">Дополнительно анализ пакетов показывает, что обмен данными осуществляется на уровне Ethernet и IPv4 с инкапсуляцией ICMP, что позволяет определить MAC-адреса источника и назначения, тип протокола и временные характеристики передачи. Наличие повторяющихся ICMP-запросов и ответов подтверждает стабильность соединения, а ICMP-сообщения о недостижимости отражают корректную работу механизмов маршрутизации и фильтрации трафика в топологии с разделением IPv4 и IPv6 (</w:t>
      </w:r>
      <w:hyperlink w:anchor="fig-25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25"/>
          <w:p>
            <w:pPr>
              <w:pStyle w:val="Compact"/>
              <w:jc w:val="center"/>
            </w:pPr>
            <w:r>
              <w:drawing>
                <wp:inline>
                  <wp:extent cx="3733800" cy="281072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Детализация ICMP-кадров и информация канального и сетевого уровней</w:t>
            </w:r>
          </w:p>
          <w:bookmarkEnd w:id="91"/>
        </w:tc>
      </w:tr>
    </w:tbl>
    <w:bookmarkEnd w:id="92"/>
    <w:bookmarkStart w:id="133" w:name="задание-для-самостоятельного-выполнения"/>
    <w:p>
      <w:pPr>
        <w:pStyle w:val="Heading2"/>
      </w:pPr>
      <w:r>
        <w:t xml:space="preserve">2.3 Задание для самостоятельного выполнения</w:t>
      </w:r>
    </w:p>
    <w:p>
      <w:pPr>
        <w:pStyle w:val="Compact"/>
        <w:numPr>
          <w:ilvl w:val="0"/>
          <w:numId w:val="1025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подсети 1 (IPv4: 10.10.1.96/27)</w:t>
      </w:r>
      <w:r>
        <w:t xml:space="preserve"> </w:t>
      </w:r>
      <w:r>
        <w:t xml:space="preserve">определены параметры адресного пространства: маска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, адрес сети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, broadcast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, диапазон хостов</w:t>
      </w:r>
      <w:r>
        <w:t xml:space="preserve"> </w:t>
      </w:r>
      <w:r>
        <w:rPr>
          <w:rStyle w:val="VerbatimChar"/>
        </w:rPr>
        <w:t xml:space="preserve">10.10.1.97–10.10.1.126</w:t>
      </w:r>
      <w:r>
        <w:t xml:space="preserve">, число хостов в сети —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(</w:t>
      </w:r>
      <w:hyperlink w:anchor="fig-26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26"/>
          <w:p>
            <w:pPr>
              <w:pStyle w:val="Compact"/>
              <w:jc w:val="center"/>
            </w:pPr>
            <w:r>
              <w:drawing>
                <wp:inline>
                  <wp:extent cx="3733800" cy="327549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5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Расчёт параметров подсети IPv4 10.10.1.96/27 в IP-калькуляторе</w:t>
            </w:r>
          </w:p>
          <w:bookmarkEnd w:id="96"/>
        </w:tc>
      </w:tr>
    </w:tbl>
    <w:p>
      <w:pPr>
        <w:pStyle w:val="Compact"/>
        <w:numPr>
          <w:ilvl w:val="0"/>
          <w:numId w:val="1026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подсети 2 (IPv4: 10.10.1.16/28)</w:t>
      </w:r>
      <w:r>
        <w:t xml:space="preserve"> </w:t>
      </w:r>
      <w:r>
        <w:t xml:space="preserve">рассчитаны характеристики: маска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, адрес сети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, broadcast</w:t>
      </w:r>
      <w:r>
        <w:t xml:space="preserve"> </w:t>
      </w:r>
      <w:r>
        <w:rPr>
          <w:rStyle w:val="VerbatimChar"/>
        </w:rPr>
        <w:t xml:space="preserve">10.10.1.31</w:t>
      </w:r>
      <w:r>
        <w:t xml:space="preserve">, диапазон хостов</w:t>
      </w:r>
      <w:r>
        <w:t xml:space="preserve"> </w:t>
      </w:r>
      <w:r>
        <w:rPr>
          <w:rStyle w:val="VerbatimChar"/>
        </w:rPr>
        <w:t xml:space="preserve">10.10.1.17–10.10.1.30</w:t>
      </w:r>
      <w:r>
        <w:t xml:space="preserve">, число хостов в сети —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(</w:t>
      </w:r>
      <w:hyperlink w:anchor="fig-27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27"/>
          <w:p>
            <w:pPr>
              <w:pStyle w:val="Compact"/>
              <w:jc w:val="center"/>
            </w:pPr>
            <w:r>
              <w:drawing>
                <wp:inline>
                  <wp:extent cx="3733800" cy="293509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5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Расчёт параметров подсети IPv4 10.10.1.16/28 в IP-калькуляторе</w:t>
            </w:r>
          </w:p>
          <w:bookmarkEnd w:id="100"/>
        </w:tc>
      </w:tr>
    </w:tbl>
    <w:p>
      <w:pPr>
        <w:pStyle w:val="Compact"/>
        <w:numPr>
          <w:ilvl w:val="0"/>
          <w:numId w:val="1027"/>
        </w:numPr>
      </w:pPr>
      <w:r>
        <w:t xml:space="preserve">Предложен вариант таблицы адресации для топологии с двумя подсетями IPv4/IPv6, где интерфейсам маршрутизатора</w:t>
      </w:r>
      <w:r>
        <w:t xml:space="preserve"> </w:t>
      </w:r>
      <w:r>
        <w:rPr>
          <w:b/>
          <w:bCs/>
        </w:rPr>
        <w:t xml:space="preserve">gw-01</w:t>
      </w:r>
      <w:r>
        <w:t xml:space="preserve"> </w:t>
      </w:r>
      <w:r>
        <w:t xml:space="preserve">назначены минимальные адреса в подсетях:</w:t>
      </w:r>
      <w:r>
        <w:t xml:space="preserve"> </w:t>
      </w:r>
      <w:r>
        <w:rPr>
          <w:rStyle w:val="VerbatimChar"/>
        </w:rPr>
        <w:t xml:space="preserve">eth0 — 10.10.1.97/27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 — 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. Для узлов назначены адреса: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rPr>
          <w:rStyle w:val="VerbatimChar"/>
        </w:rPr>
        <w:t xml:space="preserve">10.10.1.99/27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10.10.1.97 (gw-01)</w:t>
      </w:r>
      <w:r>
        <w:t xml:space="preserve">;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rPr>
          <w:rStyle w:val="VerbatimChar"/>
        </w:rPr>
        <w:t xml:space="preserve">10.10.1.18/28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10.10.1.17 (gw-01)</w:t>
      </w:r>
      <w:r>
        <w:t xml:space="preserve"> </w:t>
      </w:r>
      <w:r>
        <w:t xml:space="preserve">(</w:t>
      </w:r>
      <w:hyperlink w:anchor="fig-28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28"/>
          <w:p>
            <w:pPr>
              <w:pStyle w:val="Compact"/>
              <w:jc w:val="center"/>
            </w:pPr>
            <w:r>
              <w:drawing>
                <wp:inline>
                  <wp:extent cx="3733800" cy="125623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6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Вариант таблицы адресации для подсетей 10.10.1.96/27 и 10.10.1.16/28 с IPv6-префиксами</w:t>
            </w:r>
          </w:p>
          <w:bookmarkEnd w:id="104"/>
        </w:tc>
      </w:tr>
    </w:tbl>
    <w:p>
      <w:pPr>
        <w:pStyle w:val="Compact"/>
        <w:numPr>
          <w:ilvl w:val="0"/>
          <w:numId w:val="1028"/>
        </w:numPr>
      </w:pPr>
      <w:r>
        <w:t xml:space="preserve">Запущены</w:t>
      </w:r>
      <w:r>
        <w:t xml:space="preserve"> </w:t>
      </w:r>
      <w:r>
        <w:rPr>
          <w:b/>
          <w:bCs/>
        </w:rPr>
        <w:t xml:space="preserve">GNS3 VM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GNS3</w:t>
      </w:r>
      <w:r>
        <w:t xml:space="preserve">, после чего создан новый проект. Отображаемые имена устройств изменены по заданному шаблону: коммутаторы —</w:t>
      </w:r>
      <w:r>
        <w:t xml:space="preserve"> </w:t>
      </w:r>
      <w:r>
        <w:rPr>
          <w:rStyle w:val="VerbatimChar"/>
        </w:rPr>
        <w:t xml:space="preserve">msk-bahis-sw-0x</w:t>
      </w:r>
      <w:r>
        <w:t xml:space="preserve">, маршрутизатор —</w:t>
      </w:r>
      <w:r>
        <w:t xml:space="preserve"> </w:t>
      </w:r>
      <w:r>
        <w:rPr>
          <w:rStyle w:val="VerbatimChar"/>
        </w:rPr>
        <w:t xml:space="preserve">msk-bahis-gw-0x</w:t>
      </w:r>
      <w:r>
        <w:t xml:space="preserve">, узлы VPCS —</w:t>
      </w:r>
      <w:r>
        <w:t xml:space="preserve"> </w:t>
      </w:r>
      <w:r>
        <w:rPr>
          <w:rStyle w:val="VerbatimChar"/>
        </w:rPr>
        <w:t xml:space="preserve">PCx-bahis</w:t>
      </w:r>
      <w:r>
        <w:t xml:space="preserve"> </w:t>
      </w:r>
      <w:r>
        <w:t xml:space="preserve">(</w:t>
      </w:r>
      <w:hyperlink w:anchor="fig-29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29"/>
          <w:p>
            <w:pPr>
              <w:pStyle w:val="Compact"/>
              <w:jc w:val="center"/>
            </w:pPr>
            <w:r>
              <w:drawing>
                <wp:inline>
                  <wp:extent cx="3733800" cy="648327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8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Топология сети в GNS3 с переименованными устройствами</w:t>
            </w:r>
          </w:p>
          <w:bookmarkEnd w:id="108"/>
        </w:tc>
      </w:tr>
    </w:tbl>
    <w:p>
      <w:pPr>
        <w:pStyle w:val="Compact"/>
        <w:numPr>
          <w:ilvl w:val="0"/>
          <w:numId w:val="1029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PC1-bahis</w:t>
      </w:r>
      <w:r>
        <w:t xml:space="preserve"> </w:t>
      </w:r>
      <w:r>
        <w:t xml:space="preserve">выполнена настройка IPv4- и IPv6-адресации. Назначен IPv4-адрес</w:t>
      </w:r>
      <w:r>
        <w:t xml:space="preserve"> </w:t>
      </w:r>
      <w:r>
        <w:rPr>
          <w:rStyle w:val="VerbatimChar"/>
        </w:rPr>
        <w:t xml:space="preserve">10.10.1.99/27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, затем добавлен глобальный IPv6-адрес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. Проверка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корректное назначение адресов и наличие link-local IPv6-адреса (</w:t>
      </w:r>
      <w:hyperlink w:anchor="fig-30">
        <w:r>
          <w:rPr>
            <w:rStyle w:val="Hyperlink"/>
          </w:rPr>
          <w:t xml:space="preserve">рис. 22</w:t>
        </w:r>
      </w:hyperlink>
      <w:r>
        <w:t xml:space="preserve">), (</w:t>
      </w:r>
      <w:hyperlink w:anchor="fig-30">
        <w:r>
          <w:rPr>
            <w:rStyle w:val="Hyperlink"/>
          </w:rPr>
          <w:t xml:space="preserve">рис. 22</w:t>
        </w:r>
      </w:hyperlink>
      <w:r>
        <w:t xml:space="preserve">)..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30"/>
          <w:p>
            <w:pPr>
              <w:pStyle w:val="Compact"/>
              <w:jc w:val="center"/>
            </w:pPr>
            <w:r>
              <w:drawing>
                <wp:inline>
                  <wp:extent cx="3733800" cy="302043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0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Настройка IPv4 и IPv6 адресации на узле PC1-bahis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31"/>
          <w:p>
            <w:pPr>
              <w:pStyle w:val="Compact"/>
              <w:jc w:val="center"/>
            </w:pPr>
            <w:r>
              <w:drawing>
                <wp:inline>
                  <wp:extent cx="3733800" cy="1619159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9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Настройка IPv4 и IPv6 адресации на узле PC1-bahis</w:t>
            </w:r>
          </w:p>
          <w:bookmarkEnd w:id="116"/>
        </w:tc>
      </w:tr>
    </w:tbl>
    <w:p>
      <w:pPr>
        <w:pStyle w:val="Compact"/>
        <w:numPr>
          <w:ilvl w:val="0"/>
          <w:numId w:val="1030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PC2-bahis</w:t>
      </w:r>
      <w:r>
        <w:t xml:space="preserve"> </w:t>
      </w:r>
      <w:r>
        <w:t xml:space="preserve">настроен IPv4-адрес</w:t>
      </w:r>
      <w:r>
        <w:t xml:space="preserve"> </w:t>
      </w:r>
      <w:r>
        <w:rPr>
          <w:rStyle w:val="VerbatimChar"/>
        </w:rPr>
        <w:t xml:space="preserve">10.10.1.18/28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, после чего назначен IPv6-адрес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. Вывод команд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правильность параметров IPv4 и IPv6 и автоматическое формирование link-local IPv6-адреса (</w:t>
      </w:r>
      <w:hyperlink w:anchor="fig-32">
        <w:r>
          <w:rPr>
            <w:rStyle w:val="Hyperlink"/>
          </w:rPr>
          <w:t xml:space="preserve">рис. 24</w:t>
        </w:r>
      </w:hyperlink>
      <w:r>
        <w:t xml:space="preserve">), (</w:t>
      </w:r>
      <w:hyperlink w:anchor="fig-33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32"/>
          <w:p>
            <w:pPr>
              <w:pStyle w:val="Compact"/>
              <w:jc w:val="center"/>
            </w:pPr>
            <w:r>
              <w:drawing>
                <wp:inline>
                  <wp:extent cx="3733800" cy="258291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2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Настройка IPv4 и IPv6 адресации на узле PC2-bahis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33"/>
          <w:p>
            <w:pPr>
              <w:pStyle w:val="Compact"/>
              <w:jc w:val="center"/>
            </w:pPr>
            <w:r>
              <w:drawing>
                <wp:inline>
                  <wp:extent cx="3733800" cy="1457092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7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Настройка IPv4 и IPv6 адресации на узле PC2-bahis</w:t>
            </w:r>
          </w:p>
          <w:bookmarkEnd w:id="124"/>
        </w:tc>
      </w:tr>
    </w:tbl>
    <w:p>
      <w:pPr>
        <w:pStyle w:val="Compact"/>
        <w:numPr>
          <w:ilvl w:val="0"/>
          <w:numId w:val="1031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VyOS msk-bahis-gw-01</w:t>
      </w:r>
      <w:r>
        <w:t xml:space="preserve"> </w:t>
      </w:r>
      <w:r>
        <w:t xml:space="preserve">выполнена настройка адресации интерфейсов с использованием минимальных адресов подсетей.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назначены адреса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; дополнительно включена рассылка Router Advertisement для IPv6-префиксов. Конфигурация применена и сохранена, что подтверждается выводом команды</w:t>
      </w:r>
      <w:r>
        <w:t xml:space="preserve"> </w:t>
      </w:r>
      <w:r>
        <w:rPr>
          <w:rStyle w:val="VerbatimChar"/>
        </w:rPr>
        <w:t xml:space="preserve">show interface</w:t>
      </w:r>
      <w:r>
        <w:t xml:space="preserve">(</w:t>
      </w:r>
      <w:hyperlink w:anchor="fig-34">
        <w:r>
          <w:rPr>
            <w:rStyle w:val="Hyperlink"/>
          </w:rPr>
          <w:t xml:space="preserve">рис. 26</w:t>
        </w:r>
      </w:hyperlink>
      <w:r>
        <w:t xml:space="preserve">), (</w:t>
      </w:r>
      <w:hyperlink w:anchor="fig-35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34"/>
          <w:p>
            <w:pPr>
              <w:pStyle w:val="Compact"/>
              <w:jc w:val="center"/>
            </w:pPr>
            <w:r>
              <w:drawing>
                <wp:inline>
                  <wp:extent cx="3733800" cy="2378415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8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Настройка IPv4/IPv6 адресации интерфейсов маршрутизатора VyOS msk-bahis-gw-01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35"/>
          <w:p>
            <w:pPr>
              <w:pStyle w:val="Compact"/>
              <w:jc w:val="center"/>
            </w:pPr>
            <w:r>
              <w:drawing>
                <wp:inline>
                  <wp:extent cx="3733800" cy="3722687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2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Настройка IPv4/IPv6 адресации интерфейсов маршрутизатора VyOS msk-bahis-gw-01</w:t>
            </w:r>
          </w:p>
          <w:bookmarkEnd w:id="132"/>
        </w:tc>
      </w:tr>
    </w:tbl>
    <w:bookmarkEnd w:id="133"/>
    <w:bookmarkStart w:id="134" w:name="выводы"/>
    <w:p>
      <w:pPr>
        <w:pStyle w:val="Heading2"/>
      </w:pPr>
      <w:r>
        <w:t xml:space="preserve">2.4</w:t>
      </w:r>
      <w:r>
        <w:t xml:space="preserve">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и практически отработаны принципы планирования, распределения и настройки адресного пространства IPv4 и IPv6 в локальной сети. Выполнено разбиение исходных сетей на подсети с заданным числом узлов, корректно определены их основные характеристики: адреса сетей, маски, диапазоны узлов и широковещательные адреса.</w:t>
      </w:r>
    </w:p>
    <w:p>
      <w:pPr>
        <w:pStyle w:val="BodyText"/>
      </w:pPr>
      <w:r>
        <w:t xml:space="preserve">На практике реализована настройка двойного стека IPv4/IPv6 на оконечных устройствах и маршрутизаторах с использованием FRR и VyOS, при этом для интерфейсов маршрутизаторов были выбраны минимальные допустимые адреса в подсетях. Проверка связности 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подтвердила корректную маршрутизацию внутри каждой подсети и работоспособность настроенного адресного плана.</w:t>
      </w:r>
    </w:p>
    <w:p>
      <w:pPr>
        <w:pStyle w:val="BodyText"/>
      </w:pPr>
      <w:r>
        <w:t xml:space="preserve">Дополнительно было подтверждено логическое разделение IPv4- и IPv6-подсетей: узлы разных семейств адресации не имеют прямой связности между собой, за исключением сервера с двойным стеком, что соответствует условиям задания. Анализ захваченного трафика ICMP, ICMPv6 и ARP позволил наглядно проследить процессы обмена данными, разрешения адресов и диагностики недоступности, что подтверждает корректность конфигурации сети и механизмов маршрутизации.</w:t>
      </w:r>
    </w:p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8" Target="media/rId28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32" Target="media/rId32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Бахи сиди али темассини</dc:creator>
  <dc:language>ru-RU</dc:language>
  <cp:keywords/>
  <dcterms:created xsi:type="dcterms:W3CDTF">2026-03-05T20:19:58Z</dcterms:created>
  <dcterms:modified xsi:type="dcterms:W3CDTF">2026-03-05T20:19:58Z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