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p>
      <w:pPr>
        <w:pStyle w:val="Date"/>
      </w:pPr>
      <w:r>
        <w:t xml:space="preserve">2026-03-05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9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1" w:name="установка-gns3"/>
    <w:p>
      <w:pPr>
        <w:pStyle w:val="Heading2"/>
      </w:pPr>
      <w:r>
        <w:t xml:space="preserve">3.1 Установка GNS3</w:t>
      </w:r>
    </w:p>
    <w:bookmarkStart w:id="30" w:name="установка-gns3-all-in-one"/>
    <w:p>
      <w:pPr>
        <w:pStyle w:val="Heading3"/>
      </w:pPr>
      <w:r>
        <w:t xml:space="preserve">3.1.1 Установка GNS3-all-in-one</w:t>
      </w:r>
    </w:p>
    <w:p>
      <w:pPr>
        <w:pStyle w:val="FirstParagraph"/>
      </w:pPr>
      <w:r>
        <w:t xml:space="preserve">Устанавливаем GNS3 с помощью менеджера пакетов Chocolatey. После запуска графического окна по установке следуем указаниям,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, принимая соглашение по лицензии, выбирая отображение названия каталога в стартовом меню.</w:t>
      </w:r>
      <w:r>
        <w:t xml:space="preserve"> </w:t>
      </w:r>
      <w:r>
        <w:t xml:space="preserve">В процессе установки при выборе комплектации отмечаем MSVC Runtime (отмечено по умолчанию), GNS3-Desktop, GNS3-VM, Tools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bookmarkStart w:id="25" w:name="fig:1"/>
    <w:p>
      <w:pPr>
        <w:pStyle w:val="CaptionedFigure"/>
      </w:pPr>
      <w:r>
        <w:drawing>
          <wp:inline>
            <wp:extent cx="3733800" cy="2877010"/>
            <wp:effectExtent b="0" l="0" r="0" t="0"/>
            <wp:docPr descr="Установка GNS3: выбор комплект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GNS3: выбор комплектации</w:t>
      </w:r>
    </w:p>
    <w:bookmarkEnd w:id="25"/>
    <w:p>
      <w:pPr>
        <w:pStyle w:val="BodyText"/>
      </w:pPr>
      <w:r>
        <w:t xml:space="preserve">Далее следуем инструкциям установщика,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. Дожидаемся установки GNS3 и пакетов, принимаем соглашение по лицензии и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9" w:name="fig:2"/>
    <w:p>
      <w:pPr>
        <w:pStyle w:val="CaptionedFigure"/>
      </w:pPr>
      <w:r>
        <w:drawing>
          <wp:inline>
            <wp:extent cx="3733800" cy="2951051"/>
            <wp:effectExtent b="0" l="0" r="0" t="0"/>
            <wp:docPr descr="Заверше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29"/>
    <w:bookmarkEnd w:id="30"/>
    <w:bookmarkStart w:id="47" w:name="установка-gns3-vm-для-virtualbox"/>
    <w:p>
      <w:pPr>
        <w:pStyle w:val="Heading3"/>
      </w:pPr>
      <w:r>
        <w:t xml:space="preserve">3.1.2 Установка GNS3 VM для VirtualBox</w:t>
      </w:r>
    </w:p>
    <w:p>
      <w:pPr>
        <w:pStyle w:val="FirstParagraph"/>
      </w:pPr>
      <w:r>
        <w:t xml:space="preserve">Скачиваем архив с образом виртуальной машины GNS3 VM с официального сайта, распаковываем его. Запустив VirtualBox, выбираем</w:t>
      </w:r>
      <w:r>
        <w:t xml:space="preserve"> </w:t>
      </w:r>
      <w:r>
        <w:rPr>
          <w:i/>
          <w:iCs/>
        </w:rPr>
        <w:t xml:space="preserve">Файл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Импорт конфигураций</w:t>
      </w:r>
      <w:r>
        <w:t xml:space="preserve">. Указываем месторасположение распакованного образа</w:t>
      </w:r>
      <w:r>
        <w:t xml:space="preserve"> </w:t>
      </w:r>
      <w:r>
        <w:rPr>
          <w:rStyle w:val="VerbatimChar"/>
        </w:rPr>
        <w:t xml:space="preserve">GNS3 VM.ova</w:t>
      </w:r>
      <w:r>
        <w:t xml:space="preserve">. В следующем окне в параметрах импорта выбираем в политике MAC-адреса «Сгенерировать новые MAC-адреса всех сетевых адаптеров» и дожидаемся конца импорта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bookmarkStart w:id="34" w:name="fig:3"/>
    <w:p>
      <w:pPr>
        <w:pStyle w:val="CaptionedFigure"/>
      </w:pPr>
      <w:r>
        <w:drawing>
          <wp:inline>
            <wp:extent cx="3733800" cy="2634874"/>
            <wp:effectExtent b="0" l="0" r="0" t="0"/>
            <wp:docPr descr="Настройка параметров импорта конфигураций ВМ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импорта конфигураций ВМ</w:t>
      </w:r>
    </w:p>
    <w:bookmarkEnd w:id="34"/>
    <w:p>
      <w:pPr>
        <w:pStyle w:val="BodyText"/>
      </w:pPr>
      <w:r>
        <w:t xml:space="preserve">Переходим к настройке ВМ. Для этого в VirtualBox выбираем импортированную виртуальную машину и переходим в меню</w:t>
      </w:r>
      <w:r>
        <w:t xml:space="preserve"> </w:t>
      </w:r>
      <w:r>
        <w:rPr>
          <w:i/>
          <w:iCs/>
        </w:rPr>
        <w:t xml:space="preserve">Машина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Настроить</w:t>
      </w:r>
      <w:r>
        <w:t xml:space="preserve">. Следуем рекомендациям из сообщения об обнаружении неправильных настроек и исправляем ошибки. Проверяем минимальные ресурсы (2048 МБ основной памяти, 2 процессора). Настраиваем вложенную виртуализацию в опции</w:t>
      </w:r>
      <w:r>
        <w:t xml:space="preserve"> </w:t>
      </w:r>
      <w:r>
        <w:rPr>
          <w:i/>
          <w:iCs/>
        </w:rPr>
        <w:t xml:space="preserve">Система</w:t>
      </w:r>
      <w:r>
        <w:t xml:space="preserve">, вкладка</w:t>
      </w:r>
      <w:r>
        <w:t xml:space="preserve"> </w:t>
      </w:r>
      <w:r>
        <w:rPr>
          <w:i/>
          <w:iCs/>
        </w:rPr>
        <w:t xml:space="preserve">Процессор</w:t>
      </w:r>
      <w:r>
        <w:t xml:space="preserve">. В графическом интерфейсе нет возможности отметить флажок</w:t>
      </w:r>
      <w:r>
        <w:t xml:space="preserve"> </w:t>
      </w:r>
      <w:r>
        <w:rPr>
          <w:i/>
          <w:iCs/>
        </w:rPr>
        <w:t xml:space="preserve">Включить Nested VT-x/AMD-V</w:t>
      </w:r>
      <w:r>
        <w:t xml:space="preserve">. Для включения используем команду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): vboxmanage modifyvm</w:t>
      </w:r>
      <w:r>
        <w:t xml:space="preserve"> </w:t>
      </w:r>
      <w:r>
        <w:t xml:space="preserve">“GNS3 VM”</w:t>
      </w:r>
      <w:r>
        <w:t xml:space="preserve"> </w:t>
      </w:r>
      <w:r>
        <w:t xml:space="preserve">–nested-hw-virt on.</w:t>
      </w:r>
    </w:p>
    <w:bookmarkStart w:id="38" w:name="fig:4"/>
    <w:p>
      <w:pPr>
        <w:pStyle w:val="CaptionedFigure"/>
      </w:pPr>
      <w:r>
        <w:drawing>
          <wp:inline>
            <wp:extent cx="3733800" cy="1194377"/>
            <wp:effectExtent b="0" l="0" r="0" t="0"/>
            <wp:docPr descr="Включение вложенной виртуализаци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вложенной виртуализации</w:t>
      </w:r>
    </w:p>
    <w:bookmarkEnd w:id="38"/>
    <w:p>
      <w:pPr>
        <w:pStyle w:val="BodyText"/>
      </w:pPr>
      <w:r>
        <w:t xml:space="preserve">Проверяем, что галочка появилась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bookmarkStart w:id="42" w:name="fig:5"/>
    <w:p>
      <w:pPr>
        <w:pStyle w:val="CaptionedFigure"/>
      </w:pPr>
      <w:r>
        <w:drawing>
          <wp:inline>
            <wp:extent cx="3733800" cy="2194949"/>
            <wp:effectExtent b="0" l="0" r="0" t="0"/>
            <wp:docPr descr="Настройка параметров ВМ: включение вложенной виртуализа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ВМ: включение вложенной виртуализации</w:t>
      </w:r>
    </w:p>
    <w:bookmarkEnd w:id="42"/>
    <w:p>
      <w:pPr>
        <w:pStyle w:val="BodyText"/>
      </w:pPr>
      <w:r>
        <w:t xml:space="preserve">Настраиваем сетевой адаптер, убедившись, что выбран режим</w:t>
      </w:r>
      <w:r>
        <w:t xml:space="preserve"> </w:t>
      </w:r>
      <w:r>
        <w:rPr>
          <w:i/>
          <w:iCs/>
        </w:rPr>
        <w:t xml:space="preserve">Виртуальный адаптер хоста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6" w:name="fig:6"/>
    <w:p>
      <w:pPr>
        <w:pStyle w:val="CaptionedFigure"/>
      </w:pPr>
      <w:r>
        <w:drawing>
          <wp:inline>
            <wp:extent cx="3733800" cy="2289854"/>
            <wp:effectExtent b="0" l="0" r="0" t="0"/>
            <wp:docPr descr="Настройка параметров ВМ: сетевой адаптер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ВМ: сетевой адаптер</w:t>
      </w:r>
    </w:p>
    <w:bookmarkEnd w:id="46"/>
    <w:bookmarkEnd w:id="47"/>
    <w:bookmarkStart w:id="60" w:name="запуск-экземпляра-gns3-в-virtualbox"/>
    <w:p>
      <w:pPr>
        <w:pStyle w:val="Heading3"/>
      </w:pPr>
      <w:r>
        <w:t xml:space="preserve">3.1.3 Запуск экземпляра GNS3 в VirtualBox</w:t>
      </w:r>
    </w:p>
    <w:p>
      <w:pPr>
        <w:pStyle w:val="FirstParagraph"/>
      </w:pPr>
      <w:r>
        <w:t xml:space="preserve">Запускаем виртуальную машину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51" w:name="fig:7"/>
    <w:p>
      <w:pPr>
        <w:pStyle w:val="CaptionedFigure"/>
      </w:pPr>
      <w:r>
        <w:drawing>
          <wp:inline>
            <wp:extent cx="4267200" cy="3761764"/>
            <wp:effectExtent b="0" l="0" r="0" t="0"/>
            <wp:docPr descr="Запуск GNS3 VM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bookmarkEnd w:id="51"/>
    <w:p>
      <w:pPr>
        <w:pStyle w:val="BodyText"/>
      </w:pPr>
      <w:r>
        <w:t xml:space="preserve">Запускаем приложение GNS3 и в мастере настройки выбираем способ работы, настройки локального сервера. Выбираем IP-адрес привязки хоста. После успешного подсоединения появляется окно с итоговыми настройками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bookmarkStart w:id="55" w:name="fig:8"/>
    <w:p>
      <w:pPr>
        <w:pStyle w:val="CaptionedFigure"/>
      </w:pPr>
      <w:r>
        <w:drawing>
          <wp:inline>
            <wp:extent cx="4267200" cy="3472329"/>
            <wp:effectExtent b="0" l="0" r="0" t="0"/>
            <wp:docPr descr="Успешное подсоединение к серверу в GNS3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7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подсоединение к серверу в GNS3</w:t>
      </w:r>
    </w:p>
    <w:bookmarkEnd w:id="55"/>
    <w:p>
      <w:pPr>
        <w:pStyle w:val="BodyText"/>
      </w:pPr>
      <w:r>
        <w:t xml:space="preserve">В списке серверов видим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bookmarkStart w:id="59" w:name="fig:9"/>
    <w:p>
      <w:pPr>
        <w:pStyle w:val="CaptionedFigure"/>
      </w:pPr>
      <w:r>
        <w:drawing>
          <wp:inline>
            <wp:extent cx="4267200" cy="1926419"/>
            <wp:effectExtent b="0" l="0" r="0" t="0"/>
            <wp:docPr descr="Рабочее пространство GNS3: список сервер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пространство GNS3: список серверов</w:t>
      </w:r>
    </w:p>
    <w:bookmarkEnd w:id="59"/>
    <w:p>
      <w:pPr>
        <w:pStyle w:val="BodyText"/>
      </w:pPr>
      <w:r>
        <w:t xml:space="preserve">Для выключения GNS3 используем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Quit</w:t>
      </w:r>
      <w:r>
        <w:t xml:space="preserve">. Выключается также виртуальная машина.</w:t>
      </w:r>
    </w:p>
    <w:bookmarkEnd w:id="60"/>
    <w:bookmarkEnd w:id="61"/>
    <w:bookmarkStart w:id="92" w:name="подключение-образа-оборудования-в-gns3"/>
    <w:p>
      <w:pPr>
        <w:pStyle w:val="Heading2"/>
      </w:pPr>
      <w:r>
        <w:t xml:space="preserve">3.2 Подключение образа оборудования в GNS3</w:t>
      </w:r>
    </w:p>
    <w:bookmarkStart w:id="78" w:name="добавление-образа-маршрутизатора-frr"/>
    <w:p>
      <w:pPr>
        <w:pStyle w:val="Heading3"/>
      </w:pPr>
      <w:r>
        <w:t xml:space="preserve">3.2.1 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выбираем просмотр маршрутизаторов, затем нажимаем</w:t>
      </w:r>
      <w:r>
        <w:t xml:space="preserve"> </w:t>
      </w:r>
      <w:r>
        <w:rPr>
          <w:i/>
          <w:iCs/>
        </w:rPr>
        <w:t xml:space="preserve">+ New template</w:t>
      </w:r>
      <w:r>
        <w:t xml:space="preserve">. В открывшемся окне указываем установку образа с GNS3-сервера, нажимаем</w:t>
      </w:r>
      <w:r>
        <w:t xml:space="preserve"> </w:t>
      </w:r>
      <w:r>
        <w:rPr>
          <w:i/>
          <w:iCs/>
        </w:rPr>
        <w:t xml:space="preserve">Next</w:t>
      </w:r>
      <w:r>
        <w:t xml:space="preserve">, оставляем эмулятор по умолчанию. Далее в списке роутеров выбираем FRR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 и нажимаем</w:t>
      </w:r>
      <w:r>
        <w:t xml:space="preserve"> </w:t>
      </w:r>
      <w:r>
        <w:rPr>
          <w:i/>
          <w:iCs/>
        </w:rPr>
        <w:t xml:space="preserve">Install</w:t>
      </w:r>
      <w:r>
        <w:t xml:space="preserve">. Скачиваем и импортируем необходимые файлы,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bookmarkStart w:id="65" w:name="fig:10"/>
    <w:p>
      <w:pPr>
        <w:pStyle w:val="CaptionedFigure"/>
      </w:pPr>
      <w:r>
        <w:drawing>
          <wp:inline>
            <wp:extent cx="3733800" cy="2849646"/>
            <wp:effectExtent b="0" l="0" r="0" t="0"/>
            <wp:docPr descr="Установка образа устройства FRR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устройства FRR</w:t>
      </w:r>
    </w:p>
    <w:bookmarkEnd w:id="65"/>
    <w:bookmarkStart w:id="69" w:name="fig:11"/>
    <w:p>
      <w:pPr>
        <w:pStyle w:val="CaptionedFigure"/>
      </w:pPr>
      <w:r>
        <w:drawing>
          <wp:inline>
            <wp:extent cx="3733800" cy="2373256"/>
            <wp:effectExtent b="0" l="0" r="0" t="0"/>
            <wp:docPr descr="Скачивание и импорт файлов образа устройства FRR, завершение установки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и импорт файлов образа устройства FRR, завершение установки</w:t>
      </w:r>
    </w:p>
    <w:bookmarkEnd w:id="69"/>
    <w:p>
      <w:pPr>
        <w:pStyle w:val="BodyText"/>
      </w:pPr>
      <w:r>
        <w:t xml:space="preserve">Для настройки образа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).</w:t>
      </w:r>
    </w:p>
    <w:bookmarkStart w:id="73" w:name="fig:12"/>
    <w:p>
      <w:pPr>
        <w:pStyle w:val="CaptionedFigure"/>
      </w:pPr>
      <w:r>
        <w:drawing>
          <wp:inline>
            <wp:extent cx="3733800" cy="4134668"/>
            <wp:effectExtent b="0" l="0" r="0" t="0"/>
            <wp:docPr descr="Настройка образа маршрутизатора FRR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 FRR</w:t>
      </w:r>
    </w:p>
    <w:bookmarkEnd w:id="73"/>
    <w:bookmarkStart w:id="77" w:name="fig:13"/>
    <w:p>
      <w:pPr>
        <w:pStyle w:val="CaptionedFigure"/>
      </w:pPr>
      <w:r>
        <w:drawing>
          <wp:inline>
            <wp:extent cx="3733800" cy="4028872"/>
            <wp:effectExtent b="0" l="0" r="0" t="0"/>
            <wp:docPr descr="Настройка образа маршрутизатора FRR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 FRR</w:t>
      </w:r>
    </w:p>
    <w:bookmarkEnd w:id="77"/>
    <w:bookmarkEnd w:id="78"/>
    <w:bookmarkStart w:id="91" w:name="добавление-образа-маршрутизатора-vyos"/>
    <w:p>
      <w:pPr>
        <w:pStyle w:val="Heading3"/>
      </w:pPr>
      <w:r>
        <w:t xml:space="preserve">3.2.2 Добавление образа маршрутизатора VyOS</w:t>
      </w:r>
    </w:p>
    <w:p>
      <w:pPr>
        <w:pStyle w:val="FirstParagraph"/>
      </w:pPr>
      <w:r>
        <w:t xml:space="preserve">Скачав установочный файл VyOS, переходим в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Import appliance</w:t>
      </w:r>
      <w:r>
        <w:t xml:space="preserve"> </w:t>
      </w:r>
      <w:r>
        <w:t xml:space="preserve">и импортируем его. Далее производим аналогичные настройке FRR шаги, скачиваем необходимые файлы и импортирем их,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</w:t>
      </w:r>
    </w:p>
    <w:bookmarkStart w:id="82" w:name="fig:14"/>
    <w:p>
      <w:pPr>
        <w:pStyle w:val="CaptionedFigure"/>
      </w:pPr>
      <w:r>
        <w:drawing>
          <wp:inline>
            <wp:extent cx="3733800" cy="2364842"/>
            <wp:effectExtent b="0" l="0" r="0" t="0"/>
            <wp:docPr descr="Установка образа маршрутизатора VyOS: скачивание и импорт файлов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маршрутизатора VyOS: скачивание и импорт файлов</w:t>
      </w:r>
    </w:p>
    <w:bookmarkEnd w:id="82"/>
    <w:p>
      <w:pPr>
        <w:pStyle w:val="BodyText"/>
      </w:pPr>
      <w:r>
        <w:t xml:space="preserve">Для настройки образа маршрутизатора VyOS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. Также изменем отображаемый символ устройства, перейдя в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Symbol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 В рабочем пространстве GNS3 теперь отображаются два разных образа маршрутизаторов рис. (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</w:t>
      </w:r>
    </w:p>
    <w:bookmarkStart w:id="86" w:name="fig:15"/>
    <w:p>
      <w:pPr>
        <w:pStyle w:val="CaptionedFigure"/>
      </w:pPr>
      <w:r>
        <w:drawing>
          <wp:inline>
            <wp:extent cx="3733800" cy="3995621"/>
            <wp:effectExtent b="0" l="0" r="0" t="0"/>
            <wp:docPr descr="Изменение отображаемого символа устройства VyOS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отображаемого символа устройства VyOS</w:t>
      </w:r>
    </w:p>
    <w:bookmarkEnd w:id="86"/>
    <w:bookmarkStart w:id="90" w:name="fig:16"/>
    <w:p>
      <w:pPr>
        <w:pStyle w:val="CaptionedFigure"/>
      </w:pPr>
      <w:r>
        <w:drawing>
          <wp:inline>
            <wp:extent cx="3733800" cy="1927222"/>
            <wp:effectExtent b="0" l="0" r="0" t="0"/>
            <wp:docPr descr="Добавленные образы маршрутизаторов в GNS3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Добавленные образы маршрутизаторов в GNS3</w:t>
      </w:r>
    </w:p>
    <w:bookmarkEnd w:id="90"/>
    <w:bookmarkEnd w:id="91"/>
    <w:bookmarkEnd w:id="92"/>
    <w:bookmarkEnd w:id="93"/>
    <w:bookmarkStart w:id="9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работы была произведена установка и настройка GNS3 и сопутствующего программного обеспечения.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БАХИ СИДИ АЛИ ТЕМАССИНИ</dc:creator>
  <dc:language>ru-RU</dc:language>
  <cp:keywords/>
  <dcterms:created xsi:type="dcterms:W3CDTF">2026-03-05T18:20:54Z</dcterms:created>
  <dcterms:modified xsi:type="dcterms:W3CDTF">2026-03-05T18:20:54Z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2026-03-05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