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изучение принципов технологий Ethernet и Fast Ethernet и практическое освоение методик оценки работоспособности сети, построенной на базе технологии Fast Ethernet.</w:t>
      </w:r>
    </w:p>
    <w:bookmarkEnd w:id="20"/>
    <w:bookmarkStart w:id="29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данной лабораторной работе требуется оценить работоспособность 100-мегабитной сети Fast Ethernet в соответствии с первой и второй моделями.</w:t>
      </w:r>
    </w:p>
    <w:p>
      <w:pPr>
        <w:pStyle w:val="BodyText"/>
      </w:pPr>
      <w:r>
        <w:t xml:space="preserve">Нам даны конфигурации сети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fig:1?</w:t>
      </w:r>
      <w:r>
        <w:t xml:space="preserve">]</w:t>
      </w:r>
      <w:r>
        <w:t xml:space="preserve">) и топология сети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fig:2?</w:t>
      </w:r>
      <w:r>
        <w:t xml:space="preserve">]</w:t>
      </w:r>
      <w:r>
        <w:t xml:space="preserve">).</w:t>
      </w:r>
    </w:p>
    <w:bookmarkStart w:id="24" w:name="fig:1"/>
    <w:p>
      <w:pPr>
        <w:pStyle w:val="CaptionedFigure"/>
      </w:pPr>
      <w:r>
        <w:drawing>
          <wp:inline>
            <wp:extent cx="4267200" cy="2386263"/>
            <wp:effectExtent b="0" l="0" r="0" t="0"/>
            <wp:docPr descr="Конфигурации сет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86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Конфигурации сети</w:t>
      </w:r>
    </w:p>
    <w:bookmarkEnd w:id="24"/>
    <w:bookmarkStart w:id="28" w:name="fig:2"/>
    <w:p>
      <w:pPr>
        <w:pStyle w:val="CaptionedFigure"/>
      </w:pPr>
      <w:r>
        <w:drawing>
          <wp:inline>
            <wp:extent cx="4267200" cy="2386263"/>
            <wp:effectExtent b="0" l="0" r="0" t="0"/>
            <wp:docPr descr="Топология сет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86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</w:t>
      </w:r>
    </w:p>
    <w:bookmarkEnd w:id="28"/>
    <w:bookmarkEnd w:id="29"/>
    <w:bookmarkStart w:id="5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оценим работоспособность с помощью первой модели. Требуется высчитать диаметр домена коллизий и сравнить его с референтным значением. Так как по условию у нас имеются два повторителя класса II и все сегменты TX (а именно 100BASE-TX), то в соответствии с таблицей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fig:3?</w:t>
      </w:r>
      <w:r>
        <w:t xml:space="preserve">]</w:t>
      </w:r>
      <w:r>
        <w:t xml:space="preserve">) получаем, что предельно допустимый диаметр домена коллизий в Fast Ethernet 205 м.</w:t>
      </w:r>
    </w:p>
    <w:bookmarkStart w:id="33" w:name="fig:3"/>
    <w:p>
      <w:pPr>
        <w:pStyle w:val="CaptionedFigure"/>
      </w:pPr>
      <w:r>
        <w:drawing>
          <wp:inline>
            <wp:extent cx="4267200" cy="2272021"/>
            <wp:effectExtent b="0" l="0" r="0" t="0"/>
            <wp:docPr descr="Предельно допустимый диаметр коллизий в Fast Ethernet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7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Предельно допустимый диаметр коллизий в Fast Ethernet</w:t>
      </w:r>
    </w:p>
    <w:bookmarkEnd w:id="33"/>
    <w:p>
      <w:pPr>
        <w:pStyle w:val="BodyText"/>
      </w:pPr>
      <w:r>
        <w:t xml:space="preserve">Посчитаем суммы длин сегментов в каждой строке и сравним их с референтным значением. Результаты меньше 205 м отмечаем зеленым - это работоспособные сети (1, 3 и 4)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fig:4?</w:t>
      </w:r>
      <w:r>
        <w:t xml:space="preserve">]</w:t>
      </w:r>
      <w:r>
        <w:t xml:space="preserve">).</w:t>
      </w:r>
    </w:p>
    <w:bookmarkStart w:id="37" w:name="fig:4"/>
    <w:p>
      <w:pPr>
        <w:pStyle w:val="CaptionedFigure"/>
      </w:pPr>
      <w:r>
        <w:drawing>
          <wp:inline>
            <wp:extent cx="4267200" cy="967766"/>
            <wp:effectExtent b="0" l="0" r="0" t="0"/>
            <wp:docPr descr="Проверка работоспособности по первой модели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67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работоспособности по первой модели</w:t>
      </w:r>
    </w:p>
    <w:bookmarkEnd w:id="37"/>
    <w:p>
      <w:pPr>
        <w:pStyle w:val="BodyText"/>
      </w:pPr>
      <w:r>
        <w:t xml:space="preserve">Теперь оценим работоспособность сети с помощью второй модели. Для этого требуется найти наихудшие пути в домене коллизий, определить сегменты. В нашей конфигурации все сегменты 100BASE-TX и используется витая пара категории 5. Рассчитаем время для двойного оборота на сегментах, умножая длину сегмента на удельное время двойного оборота 1,112 би/м, исходя из таблицы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fig:5?</w:t>
      </w:r>
      <w:r>
        <w:t xml:space="preserve">]</w:t>
      </w:r>
      <w:r>
        <w:t xml:space="preserve">).</w:t>
      </w:r>
    </w:p>
    <w:bookmarkStart w:id="41" w:name="fig:5"/>
    <w:p>
      <w:pPr>
        <w:pStyle w:val="CaptionedFigure"/>
      </w:pPr>
      <w:r>
        <w:drawing>
          <wp:inline>
            <wp:extent cx="4267200" cy="3127992"/>
            <wp:effectExtent b="0" l="0" r="0" t="0"/>
            <wp:docPr descr="Временные задержки компонентов сети Fast Ethernet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27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Временные задержки компонентов сети Fast Ethernet</w:t>
      </w:r>
    </w:p>
    <w:bookmarkEnd w:id="41"/>
    <w:p>
      <w:pPr>
        <w:pStyle w:val="BodyText"/>
      </w:pPr>
      <w:r>
        <w:t xml:space="preserve">Для каждой строки перемножим значения сегментов наихудшего пути и удельное время двойного оборота сегментов, полученные значения сложим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fig:6?</w:t>
      </w:r>
      <w:r>
        <w:t xml:space="preserve">]</w:t>
      </w:r>
      <w:r>
        <w:t xml:space="preserve">).</w:t>
      </w:r>
    </w:p>
    <w:bookmarkStart w:id="45" w:name="fig:6"/>
    <w:p>
      <w:pPr>
        <w:pStyle w:val="CaptionedFigure"/>
      </w:pPr>
      <w:r>
        <w:drawing>
          <wp:inline>
            <wp:extent cx="4267200" cy="1510874"/>
            <wp:effectExtent b="0" l="0" r="0" t="0"/>
            <wp:docPr descr="Сумма длины сегментов умноженная на удельное время двойного оборота сегментов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10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Сумма длины сегментов умноженная на удельное время двойного оборота сегментов</w:t>
      </w:r>
    </w:p>
    <w:bookmarkEnd w:id="45"/>
    <w:p>
      <w:pPr>
        <w:pStyle w:val="BodyText"/>
      </w:pPr>
      <w:r>
        <w:t xml:space="preserve">Затем к получившейся сумме добавим время двойного оборота двух повторителей класса II (92 би/м для каждого) и пары терминалов с интерфейсами TX (100 би/м). Также добавим 4 битовых интервала для учета задержек и сравним результат с числом 512. Результаты меньше 512 указывают нам на работоспособные сети (выделены зеленым)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fig:7?</w:t>
      </w:r>
      <w:r>
        <w:t xml:space="preserve">]</w:t>
      </w:r>
      <w:r>
        <w:t xml:space="preserve">).</w:t>
      </w:r>
    </w:p>
    <w:bookmarkStart w:id="49" w:name="fig:7"/>
    <w:p>
      <w:pPr>
        <w:pStyle w:val="CaptionedFigure"/>
      </w:pPr>
      <w:r>
        <w:drawing>
          <wp:inline>
            <wp:extent cx="4267200" cy="718494"/>
            <wp:effectExtent b="0" l="0" r="0" t="0"/>
            <wp:docPr descr="Проверка работоспособности по второй модели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18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работоспособности по второй модели</w:t>
      </w:r>
    </w:p>
    <w:bookmarkEnd w:id="49"/>
    <w:p>
      <w:pPr>
        <w:pStyle w:val="BodyText"/>
      </w:pPr>
      <w:r>
        <w:t xml:space="preserve">В результате рабочими остаются те же варианты сетей, что и по первой модели (сети 1, 3 и 4).</w:t>
      </w:r>
    </w:p>
    <w:bookmarkEnd w:id="50"/>
    <w:bookmarkStart w:id="5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изучены принципы технологий Ethernet и Fast Ethernet. Также были практически освоены методики оценки работоспособности сети, построенной на базе технологии Fast Ethernet.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БАХИ СИДИ АЛИ ТЕМАССИНИ</dc:creator>
  <dc:language>ru-RU</dc:language>
  <cp:keywords/>
  <dcterms:created xsi:type="dcterms:W3CDTF">2026-03-05T14:19:32Z</dcterms:created>
  <dcterms:modified xsi:type="dcterms:W3CDTF">2026-03-05T14:19:32Z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