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683260</wp:posOffset>
            </wp:positionV>
            <wp:extent cx="6122670" cy="1225550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0g8A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ogAAAAAAAAAAAAAAAAAAAAAAAG4EAAAAAAAAAAAAADQEAACqJQAAigcAAAAAAABuBAAANA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25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pPr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  <w:t>1. Produto</w:t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 É um aplicativo de editor de vídeos.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2. Apresentação do produto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Com ele é possível editar seus vídeos como quiser, cortando, adicionando uma música de fundo e ainda é possível adicionar efeitos.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3. Demanda de mercado que o produto atende.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O produto surgiu com o intuito de atender a demanda de vídeos para postagem no Youtube.</w:t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4. Três estratégias para que o mercado absorva seu produto.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Ele é de fácil manuseio.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Possibilita a edição por meio do próprio celular...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E já permite o envio para o YouTube através dele.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Professor: Ewander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Alunos: Danilo Mello e Sidiany Almeida Barbatti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577062354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SIDIANY ALMEIDA BARBATTI</cp:lastModifiedBy>
  <cp:revision>2</cp:revision>
  <dcterms:created xsi:type="dcterms:W3CDTF">2019-12-23T00:32:18Z</dcterms:created>
  <dcterms:modified xsi:type="dcterms:W3CDTF">2019-12-23T00:52:34Z</dcterms:modified>
</cp:coreProperties>
</file>