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b/>
          <w:bCs/>
          <w:color w:val="1E3A8A"/>
          <w:sz w:val="64"/>
          <w:szCs w:val="64"/>
        </w:rPr>
        <w:t xml:space="preserve">LE FINANCIER</w:t>
      </w:r>
    </w:p>
    <w:p>
      <w:pPr>
        <w:spacing w:after="400"/>
        <w:jc w:val="center"/>
      </w:pPr>
      <w:r>
        <w:rPr>
          <w:i/>
          <w:iCs/>
          <w:color w:val="595959"/>
          <w:sz w:val="28"/>
          <w:szCs w:val="28"/>
        </w:rPr>
        <w:t xml:space="preserve">Marketplace de financement pour PME</w:t>
      </w:r>
    </w:p>
    <w:p>
      <w:pPr>
        <w:spacing w:after="200"/>
      </w:pPr>
    </w:p>
    <w:p>
      <w:pPr>
        <w:jc w:val="center"/>
      </w:pPr>
      <w:r>
        <w:rPr>
          <w:b/>
          <w:bCs/>
          <w:sz w:val="40"/>
          <w:szCs w:val="40"/>
        </w:rPr>
        <w:t xml:space="preserve">CAHIER DES CHARGES</w:t>
      </w:r>
    </w:p>
    <w:p>
      <w:pPr>
        <w:spacing w:after="1200"/>
        <w:jc w:val="center"/>
      </w:pPr>
      <w:r>
        <w:rPr>
          <w:color w:val="595959"/>
          <w:sz w:val="24"/>
          <w:szCs w:val="24"/>
        </w:rPr>
        <w:t xml:space="preserve">Version 1.0</w:t>
      </w:r>
    </w:p>
    <w:p>
      <w:pPr>
        <w:jc w:val="center"/>
      </w:pPr>
      <w:r>
        <w:rPr>
          <w:sz w:val="22"/>
          <w:szCs w:val="22"/>
        </w:rPr>
        <w:t xml:space="preserve">Projet réalisé pour le compte du Dothan Group</w:t>
      </w:r>
    </w:p>
    <w:p>
      <w:pPr>
        <w:spacing w:after="2000"/>
        <w:jc w:val="center"/>
      </w:pPr>
      <w:r>
        <w:rPr>
          <w:color w:val="595959"/>
          <w:sz w:val="22"/>
          <w:szCs w:val="22"/>
        </w:rPr>
        <w:t xml:space="preserve">Juin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du projet</w:t>
      </w:r>
    </w:p>
    <w:p>
      <w:pPr>
        <w:pStyle w:val="Heading2"/>
      </w:pPr>
      <w:r>
        <w:t xml:space="preserve">1.1 Contexte</w:t>
      </w:r>
    </w:p>
    <w:p>
      <w:pPr>
        <w:spacing w:after="160"/>
      </w:pPr>
      <w:r>
        <w:rPr>
          <w:b w:val="false"/>
          <w:bCs w:val="false"/>
          <w:i w:val="false"/>
          <w:iCs w:val="false"/>
          <w:sz w:val="22"/>
          <w:szCs w:val="22"/>
        </w:rPr>
        <w:t xml:space="preserve">Le Financier est une plateforme SaaS de mise en relation entre PME et investisseurs, développée pour le compte du Dothan Group. La plateforme répond à un besoin identifié dans l'écosystème entrepreneurial ouest-africain : faciliter l'accès au financement pour les petites et moyennes entreprises tout en offrant aux investisseurs (particuliers et institutionnels) un canal structuré et sécurisé pour identifier des opportunités d'investissement.</w:t>
      </w:r>
    </w:p>
    <w:p>
      <w:pPr>
        <w:pStyle w:val="Heading2"/>
      </w:pPr>
      <w:r>
        <w:t xml:space="preserve">1.2 Objectif</w:t>
      </w:r>
    </w:p>
    <w:p>
      <w:pPr>
        <w:spacing w:after="160"/>
      </w:pPr>
      <w:r>
        <w:rPr>
          <w:b w:val="false"/>
          <w:bCs w:val="false"/>
          <w:i w:val="false"/>
          <w:iCs w:val="false"/>
          <w:sz w:val="22"/>
          <w:szCs w:val="22"/>
        </w:rPr>
        <w:t xml:space="preserve">Construire une marketplace de financement où les PME peuvent soumettre des demandes de financement, où des investisseurs peuvent s'engager financièrement (financement groupé / crowdfunding), et où une équipe de back-office supervise l'ensemble du cycle : vérification des PME, validation des demandes, scoring, gestion documentaire et résolution des litiges.</w:t>
      </w:r>
    </w:p>
    <w:p>
      <w:pPr>
        <w:pStyle w:val="Heading2"/>
      </w:pPr>
      <w:r>
        <w:t xml:space="preserve">1.3 Principe fondamental : aucune transaction financière sur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4"/>
              <w:left w:val="single" w:color="1E3A8A" w:sz="24"/>
              <w:bottom w:val="single" w:color="1E3A8A" w:sz="4"/>
              <w:right w:val="single" w:color="1E3A8A" w:sz="4"/>
            </w:tcBorders>
            <w:shd w:fill="EEF2FF" w:val="clear"/>
            <w:tcMar>
              <w:top w:type="dxa" w:w="160"/>
              <w:left w:type="dxa" w:w="220"/>
              <w:bottom w:type="dxa" w:w="160"/>
              <w:right w:type="dxa" w:w="220"/>
            </w:tcMar>
          </w:tcPr>
          <w:p>
            <w:pPr>
              <w:spacing w:after="60"/>
            </w:pPr>
            <w:r>
              <w:rPr>
                <w:b/>
                <w:bCs/>
                <w:color w:val="1E3A8A"/>
                <w:sz w:val="20"/>
                <w:szCs w:val="20"/>
              </w:rPr>
              <w:t xml:space="preserve">Point structurant du modèle</w:t>
            </w:r>
          </w:p>
          <w:p>
            <w:r>
              <w:rPr>
                <w:sz w:val="20"/>
                <w:szCs w:val="20"/>
              </w:rPr>
              <w:t xml:space="preserve">Le Financier ne manipule aucun mouvement d'argent. La plateforme gère uniquement les engagements, les statuts et la documentation. Toute transaction financière entre une PME et un investisseur se règle hors plateforme, une fois l'accord conclu. Ce choix simplifie considérablement le périmètre réglementaire (pas de statut d'établissement de paiement) et élimine le besoin d'un système de wallet ou de ledger comptable interne.</w:t>
            </w:r>
          </w:p>
        </w:tc>
      </w:tr>
    </w:tbl>
    <w:p>
      <w:pPr>
        <w:spacing w:after="160"/>
      </w:pPr>
    </w:p>
    <w:p>
      <w:pPr>
        <w:spacing w:after="160"/>
      </w:pPr>
      <w:r>
        <w:rPr>
          <w:b w:val="false"/>
          <w:bCs w:val="false"/>
          <w:i w:val="false"/>
          <w:iCs w:val="false"/>
          <w:sz w:val="22"/>
          <w:szCs w:val="22"/>
        </w:rPr>
        <w:t xml:space="preserve">Concrètement, lorsqu'un investisseur s'engage sur une demande de financement, la plateforme enregistre cet engagement avec un montant et un statut. Une fois le règlement effectué en dehors de la plateforme (virement bancaire, chèque, etc.), l'investisseur confirme le règlement et fournit un justificatif. La plateforme ne fait que tracer cet événement déclaratif.</w:t>
      </w:r>
    </w:p>
    <w:p>
      <w:pPr>
        <w:pStyle w:val="Heading2"/>
      </w:pPr>
      <w:r>
        <w:t xml:space="preserve">1.4 Acteurs du système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Rôle</w:t>
            </w:r>
          </w:p>
        </w:tc>
        <w:tc>
          <w:tcPr>
            <w:tcW w:type="dxa" w:w="74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SUPER_ADMIN</w:t>
            </w:r>
          </w:p>
        </w:tc>
        <w:tc>
          <w:tcPr>
            <w:tcW w:type="dxa" w:w="74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Administrateur disposant d'un accès total à la plateforme. Supervise l'ensemble du système.</w:t>
            </w:r>
          </w:p>
        </w:tc>
      </w:tr>
      <w:tr>
        <w:tc>
          <w:tcPr>
            <w:tcW w:type="dxa" w:w="22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ADMIN</w:t>
            </w:r>
          </w:p>
        </w:tc>
        <w:tc>
          <w:tcPr>
            <w:tcW w:type="dxa" w:w="74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Membre de l'équipe back-office. Valide les PME, approuve/rejette les demandes de financement, gère les litiges et consulte les KPI.</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PME_OWNER</w:t>
            </w:r>
          </w:p>
        </w:tc>
        <w:tc>
          <w:tcPr>
            <w:tcW w:type="dxa" w:w="74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Propriétaire d'une entreprise (PME). Peut créer une ou plusieurs organisations, soumettre des demandes de financement, suivre les offres reçues.</w:t>
            </w:r>
          </w:p>
        </w:tc>
      </w:tr>
      <w:tr>
        <w:tc>
          <w:tcPr>
            <w:tcW w:type="dxa" w:w="22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PME_MEMBER</w:t>
            </w:r>
          </w:p>
        </w:tc>
        <w:tc>
          <w:tcPr>
            <w:tcW w:type="dxa" w:w="74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Collaborateur au sein d'une PME, avec un accès restreint par rapport au propriétaire.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INVESTOR</w:t>
            </w:r>
          </w:p>
        </w:tc>
        <w:tc>
          <w:tcPr>
            <w:tcW w:type="dxa" w:w="74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Investisseur particulier. Parcourt les demandes publiées, s'engage financièrement, confirme ses règlements.</w:t>
            </w:r>
          </w:p>
        </w:tc>
      </w:tr>
      <w:tr>
        <w:tc>
          <w:tcPr>
            <w:tcW w:type="dxa" w:w="22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INSTITUTION</w:t>
            </w:r>
          </w:p>
        </w:tc>
        <w:tc>
          <w:tcPr>
            <w:tcW w:type="dxa" w:w="74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Investisseur institutionnel (banque, fonds). Mêmes capacités qu'un investisseur particulier, avec un profil distinct dans le système.</w:t>
            </w:r>
          </w:p>
        </w:tc>
      </w:tr>
    </w:tbl>
    <w:p>
      <w:r>
        <w:br w:type="page"/>
      </w:r>
    </w:p>
    <w:p>
      <w:pPr>
        <w:pStyle w:val="Heading1"/>
      </w:pPr>
      <w:r>
        <w:t xml:space="preserve">2. Périmètre fonctionnel</w:t>
      </w:r>
    </w:p>
    <w:p>
      <w:pPr>
        <w:pStyle w:val="Heading2"/>
      </w:pPr>
      <w:r>
        <w:t xml:space="preserve">2.1 Parcours PME</w:t>
      </w:r>
    </w:p>
    <w:p>
      <w:pPr>
        <w:pStyle w:val="ListParagraph"/>
        <w:numPr>
          <w:ilvl w:val="0"/>
          <w:numId w:val="2"/>
        </w:numPr>
        <w:spacing w:after="80"/>
      </w:pPr>
      <w:r>
        <w:rPr>
          <w:sz w:val="22"/>
          <w:szCs w:val="22"/>
        </w:rPr>
        <w:t xml:space="preserve">Inscription en tant que propriétaire de PME (email et mot de passe).</w:t>
      </w:r>
    </w:p>
    <w:p>
      <w:pPr>
        <w:pStyle w:val="ListParagraph"/>
        <w:numPr>
          <w:ilvl w:val="0"/>
          <w:numId w:val="2"/>
        </w:numPr>
        <w:spacing w:after="80"/>
      </w:pPr>
      <w:r>
        <w:rPr>
          <w:sz w:val="22"/>
          <w:szCs w:val="22"/>
        </w:rPr>
        <w:t xml:space="preserve">Création d'une ou plusieurs fiches d'organisation (PME), avec informations légales (numéro RCCM, secteur, ville, forme juridique).</w:t>
      </w:r>
    </w:p>
    <w:p>
      <w:pPr>
        <w:pStyle w:val="ListParagraph"/>
        <w:numPr>
          <w:ilvl w:val="0"/>
          <w:numId w:val="2"/>
        </w:numPr>
        <w:spacing w:after="80"/>
      </w:pPr>
      <w:r>
        <w:rPr>
          <w:sz w:val="22"/>
          <w:szCs w:val="22"/>
        </w:rPr>
        <w:t xml:space="preserve">Constitution du dossier KYC : upload des documents obligatoires (RCCM, bilans comptables, pièce d'identité du dirigeant, attestation fiscale, plan de trésorerie).</w:t>
      </w:r>
    </w:p>
    <w:p>
      <w:pPr>
        <w:pStyle w:val="ListParagraph"/>
        <w:numPr>
          <w:ilvl w:val="0"/>
          <w:numId w:val="2"/>
        </w:numPr>
        <w:spacing w:after="80"/>
      </w:pPr>
      <w:r>
        <w:rPr>
          <w:sz w:val="22"/>
          <w:szCs w:val="22"/>
        </w:rPr>
        <w:t xml:space="preserve">Création d'une demande de financement : titre, description, montant recherché, taux de rendement attendu, durée.</w:t>
      </w:r>
    </w:p>
    <w:p>
      <w:pPr>
        <w:pStyle w:val="ListParagraph"/>
        <w:numPr>
          <w:ilvl w:val="0"/>
          <w:numId w:val="2"/>
        </w:numPr>
        <w:spacing w:after="80"/>
      </w:pPr>
      <w:r>
        <w:rPr>
          <w:sz w:val="22"/>
          <w:szCs w:val="22"/>
        </w:rPr>
        <w:t xml:space="preserve">Soumission de la demande pour révision par l'équipe back-office.</w:t>
      </w:r>
    </w:p>
    <w:p>
      <w:pPr>
        <w:pStyle w:val="ListParagraph"/>
        <w:numPr>
          <w:ilvl w:val="0"/>
          <w:numId w:val="2"/>
        </w:numPr>
        <w:spacing w:after="80"/>
      </w:pPr>
      <w:r>
        <w:rPr>
          <w:sz w:val="22"/>
          <w:szCs w:val="22"/>
        </w:rPr>
        <w:t xml:space="preserve">Suivi du statut de la demande (brouillon, en révision, publiée, financée, rejetée, clôturée).</w:t>
      </w:r>
    </w:p>
    <w:p>
      <w:pPr>
        <w:pStyle w:val="ListParagraph"/>
        <w:numPr>
          <w:ilvl w:val="0"/>
          <w:numId w:val="2"/>
        </w:numPr>
        <w:spacing w:after="80"/>
      </w:pPr>
      <w:r>
        <w:rPr>
          <w:sz w:val="22"/>
          <w:szCs w:val="22"/>
        </w:rPr>
        <w:t xml:space="preserve">Consultation des offres (engagements) reçues d'investisseurs sur ses demandes publiées.</w:t>
      </w:r>
    </w:p>
    <w:p>
      <w:pPr>
        <w:pStyle w:val="ListParagraph"/>
        <w:numPr>
          <w:ilvl w:val="0"/>
          <w:numId w:val="2"/>
        </w:numPr>
        <w:spacing w:after="80"/>
      </w:pPr>
      <w:r>
        <w:rPr>
          <w:sz w:val="22"/>
          <w:szCs w:val="22"/>
        </w:rPr>
        <w:t xml:space="preserve">Réception de notifications en temps réel lors d'un nouvel engagement investisseur.</w:t>
      </w:r>
    </w:p>
    <w:p>
      <w:pPr>
        <w:spacing w:after="200"/>
      </w:pPr>
    </w:p>
    <w:p>
      <w:pPr>
        <w:pStyle w:val="Heading2"/>
      </w:pPr>
      <w:r>
        <w:t xml:space="preserve">2.2 Parcours Investisseur / Institution</w:t>
      </w:r>
    </w:p>
    <w:p>
      <w:pPr>
        <w:pStyle w:val="ListParagraph"/>
        <w:numPr>
          <w:ilvl w:val="0"/>
          <w:numId w:val="2"/>
        </w:numPr>
        <w:spacing w:after="80"/>
      </w:pPr>
      <w:r>
        <w:rPr>
          <w:sz w:val="22"/>
          <w:szCs w:val="22"/>
        </w:rPr>
        <w:t xml:space="preserve">Inscription en tant qu'investisseur particulier ou institution.</w:t>
      </w:r>
    </w:p>
    <w:p>
      <w:pPr>
        <w:pStyle w:val="ListParagraph"/>
        <w:numPr>
          <w:ilvl w:val="0"/>
          <w:numId w:val="2"/>
        </w:numPr>
        <w:spacing w:after="80"/>
      </w:pPr>
      <w:r>
        <w:rPr>
          <w:sz w:val="22"/>
          <w:szCs w:val="22"/>
        </w:rPr>
        <w:t xml:space="preserve">Consultation du catalogue des demandes de financement publiées (accessible publiquement, sans connexion).</w:t>
      </w:r>
    </w:p>
    <w:p>
      <w:pPr>
        <w:pStyle w:val="ListParagraph"/>
        <w:numPr>
          <w:ilvl w:val="0"/>
          <w:numId w:val="2"/>
        </w:numPr>
        <w:spacing w:after="80"/>
      </w:pPr>
      <w:r>
        <w:rPr>
          <w:sz w:val="22"/>
          <w:szCs w:val="22"/>
        </w:rPr>
        <w:t xml:space="preserve">Engagement financier sur une demande publiée, avec vérification automatique du plafond disponible (financement groupé).</w:t>
      </w:r>
    </w:p>
    <w:p>
      <w:pPr>
        <w:pStyle w:val="ListParagraph"/>
        <w:numPr>
          <w:ilvl w:val="0"/>
          <w:numId w:val="2"/>
        </w:numPr>
        <w:spacing w:after="80"/>
      </w:pPr>
      <w:r>
        <w:rPr>
          <w:sz w:val="22"/>
          <w:szCs w:val="22"/>
        </w:rPr>
        <w:t xml:space="preserve">Confirmation du règlement effectué hors plateforme, avec upload d'un justificatif.</w:t>
      </w:r>
    </w:p>
    <w:p>
      <w:pPr>
        <w:pStyle w:val="ListParagraph"/>
        <w:numPr>
          <w:ilvl w:val="0"/>
          <w:numId w:val="2"/>
        </w:numPr>
        <w:spacing w:after="80"/>
      </w:pPr>
      <w:r>
        <w:rPr>
          <w:sz w:val="22"/>
          <w:szCs w:val="22"/>
        </w:rPr>
        <w:t xml:space="preserve">Suivi de son portefeuille d'engagements.</w:t>
      </w:r>
    </w:p>
    <w:p>
      <w:pPr>
        <w:spacing w:after="200"/>
      </w:pPr>
    </w:p>
    <w:p>
      <w:pPr>
        <w:pStyle w:val="Heading2"/>
      </w:pPr>
      <w:r>
        <w:t xml:space="preserve">2.3 Parcours Back-office / Admin</w:t>
      </w:r>
    </w:p>
    <w:p>
      <w:pPr>
        <w:pStyle w:val="ListParagraph"/>
        <w:numPr>
          <w:ilvl w:val="0"/>
          <w:numId w:val="2"/>
        </w:numPr>
        <w:spacing w:after="80"/>
      </w:pPr>
      <w:r>
        <w:rPr>
          <w:sz w:val="22"/>
          <w:szCs w:val="22"/>
        </w:rPr>
        <w:t xml:space="preserve">Validation ou rejet des demandes de financement soumises en révision.</w:t>
      </w:r>
    </w:p>
    <w:p>
      <w:pPr>
        <w:pStyle w:val="ListParagraph"/>
        <w:numPr>
          <w:ilvl w:val="0"/>
          <w:numId w:val="2"/>
        </w:numPr>
        <w:spacing w:after="80"/>
      </w:pPr>
      <w:r>
        <w:rPr>
          <w:sz w:val="22"/>
          <w:szCs w:val="22"/>
        </w:rPr>
        <w:t xml:space="preserve">Vérification du statut KYC des organisations.</w:t>
      </w:r>
    </w:p>
    <w:p>
      <w:pPr>
        <w:pStyle w:val="ListParagraph"/>
        <w:numPr>
          <w:ilvl w:val="0"/>
          <w:numId w:val="2"/>
        </w:numPr>
        <w:spacing w:after="80"/>
      </w:pPr>
      <w:r>
        <w:rPr>
          <w:sz w:val="22"/>
          <w:szCs w:val="22"/>
        </w:rPr>
        <w:t xml:space="preserve">Supervision des indicateurs clés (KPI) de la plateforme.</w:t>
      </w:r>
    </w:p>
    <w:p>
      <w:pPr>
        <w:pStyle w:val="ListParagraph"/>
        <w:numPr>
          <w:ilvl w:val="0"/>
          <w:numId w:val="2"/>
        </w:numPr>
        <w:spacing w:after="80"/>
      </w:pPr>
      <w:r>
        <w:rPr>
          <w:sz w:val="22"/>
          <w:szCs w:val="22"/>
        </w:rPr>
        <w:t xml:space="preserve">Gestion des litiges entre PME et investisseurs.</w:t>
      </w:r>
    </w:p>
    <w:p>
      <w:pPr>
        <w:pStyle w:val="ListParagraph"/>
        <w:numPr>
          <w:ilvl w:val="0"/>
          <w:numId w:val="2"/>
        </w:numPr>
        <w:spacing w:after="80"/>
      </w:pPr>
      <w:r>
        <w:rPr>
          <w:sz w:val="22"/>
          <w:szCs w:val="22"/>
        </w:rPr>
        <w:t xml:space="preserve">Consultation du journal d'audit (traçabilité de toutes les actions sensibles).</w:t>
      </w:r>
    </w:p>
    <w:p>
      <w:pPr>
        <w:spacing w:after="200"/>
      </w:pPr>
    </w:p>
    <w:p>
      <w:pPr>
        <w:pStyle w:val="Heading2"/>
      </w:pPr>
      <w:r>
        <w:t xml:space="preserve">2.4 Fonctionnalités transverses</w:t>
      </w:r>
    </w:p>
    <w:p>
      <w:pPr>
        <w:pStyle w:val="ListParagraph"/>
        <w:numPr>
          <w:ilvl w:val="0"/>
          <w:numId w:val="2"/>
        </w:numPr>
        <w:spacing w:after="80"/>
      </w:pPr>
      <w:r>
        <w:rPr>
          <w:b/>
          <w:bCs/>
          <w:sz w:val="22"/>
          <w:szCs w:val="22"/>
        </w:rPr>
        <w:t xml:space="preserve">Authentification sécurisée — </w:t>
      </w:r>
      <w:r>
        <w:rPr>
          <w:sz w:val="22"/>
          <w:szCs w:val="22"/>
        </w:rPr>
        <w:t xml:space="preserve">JWT avec access token et refresh token, hashage des mots de passe (bcrypt), contrôle d'accès basé sur les rôles (RBAC).</w:t>
      </w:r>
    </w:p>
    <w:p>
      <w:pPr>
        <w:pStyle w:val="ListParagraph"/>
        <w:numPr>
          <w:ilvl w:val="0"/>
          <w:numId w:val="2"/>
        </w:numPr>
        <w:spacing w:after="80"/>
      </w:pPr>
      <w:r>
        <w:rPr>
          <w:b/>
          <w:bCs/>
          <w:sz w:val="22"/>
          <w:szCs w:val="22"/>
        </w:rPr>
        <w:t xml:space="preserve">Gestion documentaire — </w:t>
      </w:r>
      <w:r>
        <w:rPr>
          <w:sz w:val="22"/>
          <w:szCs w:val="22"/>
        </w:rPr>
        <w:t xml:space="preserve">Stockage sécurisé des documents (object storage compatible S3), URLs de téléchargement signées à durée limitée, checklist KYC dynamique.</w:t>
      </w:r>
    </w:p>
    <w:p>
      <w:pPr>
        <w:pStyle w:val="ListParagraph"/>
        <w:numPr>
          <w:ilvl w:val="0"/>
          <w:numId w:val="2"/>
        </w:numPr>
        <w:spacing w:after="80"/>
      </w:pPr>
      <w:r>
        <w:rPr>
          <w:b/>
          <w:bCs/>
          <w:sz w:val="22"/>
          <w:szCs w:val="22"/>
        </w:rPr>
        <w:t xml:space="preserve">Notifications temps réel — </w:t>
      </w:r>
      <w:r>
        <w:rPr>
          <w:sz w:val="22"/>
          <w:szCs w:val="22"/>
        </w:rPr>
        <w:t xml:space="preserve">Système de notifications via WebSocket, avec persistance en base de données et historique consultable.</w:t>
      </w:r>
    </w:p>
    <w:p>
      <w:pPr>
        <w:pStyle w:val="ListParagraph"/>
        <w:numPr>
          <w:ilvl w:val="0"/>
          <w:numId w:val="2"/>
        </w:numPr>
        <w:spacing w:after="80"/>
      </w:pPr>
      <w:r>
        <w:rPr>
          <w:b/>
          <w:bCs/>
          <w:sz w:val="22"/>
          <w:szCs w:val="22"/>
        </w:rPr>
        <w:t xml:space="preserve">Audit et traçabilité — </w:t>
      </w:r>
      <w:r>
        <w:rPr>
          <w:sz w:val="22"/>
          <w:szCs w:val="22"/>
        </w:rPr>
        <w:t xml:space="preserve">Journal d'audit immuable pour toute action sensible sur la plateforme.</w:t>
      </w:r>
    </w:p>
    <w:p>
      <w:r>
        <w:br w:type="page"/>
      </w:r>
    </w:p>
    <w:p>
      <w:pPr>
        <w:pStyle w:val="Heading1"/>
      </w:pPr>
      <w:r>
        <w:t xml:space="preserve">3. Architecture technique</w:t>
      </w:r>
    </w:p>
    <w:p>
      <w:pPr>
        <w:pStyle w:val="Heading2"/>
      </w:pPr>
      <w:r>
        <w:t xml:space="preserve">3.1 Vue d'ensemble</w:t>
      </w:r>
    </w:p>
    <w:p>
      <w:pPr>
        <w:spacing w:after="160"/>
      </w:pPr>
      <w:r>
        <w:rPr>
          <w:b w:val="false"/>
          <w:bCs w:val="false"/>
          <w:i w:val="false"/>
          <w:iCs w:val="false"/>
          <w:sz w:val="22"/>
          <w:szCs w:val="22"/>
        </w:rPr>
        <w:t xml:space="preserve">Le projet est structuré en monorepo (un seul dépôt Git contenant plusieurs applications et bibliothèques partagées), avec une séparation stricte entre le frontend et le backend. Les deux applications sont indépendantes : ports distincts, déploiements distincts, communication exclusivement via une API REST (et WebSocket pour le temps réel).</w:t>
      </w:r>
    </w:p>
    <w:p>
      <w:pPr>
        <w:pStyle w:val="Heading3"/>
      </w:pPr>
      <w:r>
        <w:t xml:space="preserve">3.1.1 Structure du monorepo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Dossier</w:t>
            </w:r>
          </w:p>
        </w:tc>
        <w:tc>
          <w:tcPr>
            <w:tcW w:type="dxa" w:w="64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Contenu</w:t>
            </w:r>
          </w:p>
        </w:tc>
      </w:tr>
      <w:tr>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apps/frontend</w:t>
            </w:r>
          </w:p>
        </w:tc>
        <w:tc>
          <w:tcPr>
            <w:tcW w:type="dxa" w:w="64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Application Next.js : interface utilisateur (PME, investisseurs, back-office).</w:t>
            </w:r>
          </w:p>
        </w:tc>
      </w:tr>
      <w:tr>
        <w:tc>
          <w:tcPr>
            <w:tcW w:type="dxa" w:w="32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apps/backend</w:t>
            </w:r>
          </w:p>
        </w:tc>
        <w:tc>
          <w:tcPr>
            <w:tcW w:type="dxa" w:w="64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Application NestJS : API REST, logique métier, accès base de données.</w:t>
            </w:r>
          </w:p>
        </w:tc>
      </w:tr>
      <w:tr>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packages/database</w:t>
            </w:r>
          </w:p>
        </w:tc>
        <w:tc>
          <w:tcPr>
            <w:tcW w:type="dxa" w:w="64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Schéma Prisma, migrations, client de base de données partagé.</w:t>
            </w:r>
          </w:p>
        </w:tc>
      </w:tr>
      <w:tr>
        <w:tc>
          <w:tcPr>
            <w:tcW w:type="dxa" w:w="32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packages/types</w:t>
            </w:r>
          </w:p>
        </w:tc>
        <w:tc>
          <w:tcPr>
            <w:tcW w:type="dxa" w:w="64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Types et DTO partagés entre le frontend et le backend.</w:t>
            </w:r>
          </w:p>
        </w:tc>
      </w:tr>
      <w:tr>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packages/config</w:t>
            </w:r>
          </w:p>
        </w:tc>
        <w:tc>
          <w:tcPr>
            <w:tcW w:type="dxa" w:w="64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Configuration ESLint, TypeScript et Prettier partagée.</w:t>
            </w:r>
          </w:p>
        </w:tc>
      </w:tr>
      <w:tr>
        <w:tc>
          <w:tcPr>
            <w:tcW w:type="dxa" w:w="32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packages/ui</w:t>
            </w:r>
          </w:p>
        </w:tc>
        <w:tc>
          <w:tcPr>
            <w:tcW w:type="dxa" w:w="64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Composants React réutilisables, issus des maquettes Figma.</w:t>
            </w:r>
          </w:p>
        </w:tc>
      </w:tr>
    </w:tbl>
    <w:p>
      <w:pPr>
        <w:spacing w:after="200"/>
      </w:pPr>
    </w:p>
    <w:p>
      <w:pPr>
        <w:pStyle w:val="Heading2"/>
      </w:pPr>
      <w:r>
        <w:t xml:space="preserve">3.2 Stack technique retenue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48"/>
      </w:tblGrid>
      <w:tr>
        <w:trPr>
          <w:tblHeader/>
        </w:trPr>
        <w:tc>
          <w:tcPr>
            <w:tcW w:type="dxa" w:w="26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Composant</w:t>
            </w:r>
          </w:p>
        </w:tc>
        <w:tc>
          <w:tcPr>
            <w:tcW w:type="dxa" w:w="30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Technologie</w:t>
            </w:r>
          </w:p>
        </w:tc>
        <w:tc>
          <w:tcPr>
            <w:tcW w:type="dxa" w:w="40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Rôle</w:t>
            </w:r>
          </w:p>
        </w:tc>
      </w:tr>
      <w:tr>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Gestion de monorepo</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npm workspaces + Turborepo</w:t>
            </w:r>
          </w:p>
        </w:tc>
        <w:tc>
          <w:tcPr>
            <w:tcW w:type="dxa" w:w="40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Orchestration des builds et exécution parallèle des applications.</w:t>
            </w:r>
          </w:p>
        </w:tc>
      </w:tr>
      <w:tr>
        <w:tc>
          <w:tcPr>
            <w:tcW w:type="dxa" w:w="26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Frontend</w:t>
            </w:r>
          </w:p>
        </w:tc>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Next.js (App Router)</w:t>
            </w:r>
          </w:p>
        </w:tc>
        <w:tc>
          <w:tcPr>
            <w:tcW w:type="dxa" w:w="40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Interface utilisateur, rendu côté serveur et client.</w:t>
            </w:r>
          </w:p>
        </w:tc>
      </w:tr>
      <w:tr>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Backend</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NestJS</w:t>
            </w:r>
          </w:p>
        </w:tc>
        <w:tc>
          <w:tcPr>
            <w:tcW w:type="dxa" w:w="40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API REST, organisation modulaire du code métier.</w:t>
            </w:r>
          </w:p>
        </w:tc>
      </w:tr>
      <w:tr>
        <w:tc>
          <w:tcPr>
            <w:tcW w:type="dxa" w:w="26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Base de données</w:t>
            </w:r>
          </w:p>
        </w:tc>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PostgreSQL</w:t>
            </w:r>
          </w:p>
        </w:tc>
        <w:tc>
          <w:tcPr>
            <w:tcW w:type="dxa" w:w="40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Stockage relationnel principal.</w:t>
            </w:r>
          </w:p>
        </w:tc>
      </w:tr>
      <w:tr>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ORM</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Prisma</w:t>
            </w:r>
          </w:p>
        </w:tc>
        <w:tc>
          <w:tcPr>
            <w:tcW w:type="dxa" w:w="40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Modélisation du schéma, migrations, requêtes typées.</w:t>
            </w:r>
          </w:p>
        </w:tc>
      </w:tr>
      <w:tr>
        <w:tc>
          <w:tcPr>
            <w:tcW w:type="dxa" w:w="26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Cache / files d'attente</w:t>
            </w:r>
          </w:p>
        </w:tc>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Redis + BullMQ</w:t>
            </w:r>
          </w:p>
        </w:tc>
        <w:tc>
          <w:tcPr>
            <w:tcW w:type="dxa" w:w="40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Traitement asynchrone (notifications, futurs calculs de scoring).</w:t>
            </w:r>
          </w:p>
        </w:tc>
      </w:tr>
      <w:tr>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Stockage de fichiers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MinIO (compatible API S3)</w:t>
            </w:r>
          </w:p>
        </w:tc>
        <w:tc>
          <w:tcPr>
            <w:tcW w:type="dxa" w:w="40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Stockage des documents (KYC, justificatifs), avec URLs signées.</w:t>
            </w:r>
          </w:p>
        </w:tc>
      </w:tr>
      <w:tr>
        <w:tc>
          <w:tcPr>
            <w:tcW w:type="dxa" w:w="26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Temps réel</w:t>
            </w:r>
          </w:p>
        </w:tc>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Socket.IO (WebSocket)</w:t>
            </w:r>
          </w:p>
        </w:tc>
        <w:tc>
          <w:tcPr>
            <w:tcW w:type="dxa" w:w="40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Notifications poussées en direct vers les utilisateurs connectés.</w:t>
            </w:r>
          </w:p>
        </w:tc>
      </w:tr>
      <w:tr>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Conteneurisation</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Docker / Docker Compose</w:t>
            </w:r>
          </w:p>
        </w:tc>
        <w:tc>
          <w:tcPr>
            <w:tcW w:type="dxa" w:w="40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Environnement de développement reproductible (Postgres, Redis, MinIO).</w:t>
            </w:r>
          </w:p>
        </w:tc>
      </w:tr>
    </w:tbl>
    <w:p>
      <w:pPr>
        <w:spacing w:after="200"/>
      </w:pPr>
    </w:p>
    <w:p>
      <w:pPr>
        <w:pStyle w:val="Heading2"/>
      </w:pPr>
      <w:r>
        <w:t xml:space="preserve">3.3 Allocation des ports</w:t>
      </w:r>
    </w:p>
    <w:p>
      <w:pPr>
        <w:spacing w:after="160"/>
      </w:pPr>
      <w:r>
        <w:rPr>
          <w:b w:val="false"/>
          <w:bCs w:val="false"/>
          <w:i w:val="false"/>
          <w:iCs w:val="false"/>
          <w:sz w:val="22"/>
          <w:szCs w:val="22"/>
        </w:rPr>
        <w:t xml:space="preserve">Une plage de ports dédiée a été définie pour éviter tout conflit avec d'autres projets actifs sur la machine de développement.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48"/>
      </w:tblGrid>
      <w:tr>
        <w:trPr>
          <w:tblHeader/>
        </w:trPr>
        <w:tc>
          <w:tcPr>
            <w:tcW w:type="dxa" w:w="40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Service</w:t>
            </w:r>
          </w:p>
        </w:tc>
        <w:tc>
          <w:tcPr>
            <w:tcW w:type="dxa" w:w="24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Port</w:t>
            </w:r>
          </w:p>
        </w:tc>
        <w:tc>
          <w:tcPr>
            <w:tcW w:type="dxa" w:w="32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Port par défaut habituel</w:t>
            </w:r>
          </w:p>
        </w:tc>
      </w:tr>
      <w:tr>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Frontend (Next.js)</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4200</w:t>
            </w:r>
          </w:p>
        </w:tc>
        <w:tc>
          <w:tcPr>
            <w:tcW w:type="dxa" w:w="3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3000</w:t>
            </w:r>
          </w:p>
        </w:tc>
      </w:tr>
      <w:tr>
        <w:tc>
          <w:tcPr>
            <w:tcW w:type="dxa" w:w="4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Backend (NestJS)</w:t>
            </w:r>
          </w:p>
        </w:tc>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4201</w:t>
            </w:r>
          </w:p>
        </w:tc>
        <w:tc>
          <w:tcPr>
            <w:tcW w:type="dxa" w:w="3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3000 / 3001</w:t>
            </w:r>
          </w:p>
        </w:tc>
      </w:tr>
      <w:tr>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PostgreSQL</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4432</w:t>
            </w:r>
          </w:p>
        </w:tc>
        <w:tc>
          <w:tcPr>
            <w:tcW w:type="dxa" w:w="3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5432</w:t>
            </w:r>
          </w:p>
        </w:tc>
      </w:tr>
      <w:tr>
        <w:tc>
          <w:tcPr>
            <w:tcW w:type="dxa" w:w="4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Redis</w:t>
            </w:r>
          </w:p>
        </w:tc>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4379</w:t>
            </w:r>
          </w:p>
        </w:tc>
        <w:tc>
          <w:tcPr>
            <w:tcW w:type="dxa" w:w="3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6379</w:t>
            </w:r>
          </w:p>
        </w:tc>
      </w:tr>
      <w:tr>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MinIO (API S3)</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4300</w:t>
            </w:r>
          </w:p>
        </w:tc>
        <w:tc>
          <w:tcPr>
            <w:tcW w:type="dxa" w:w="3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9000</w:t>
            </w:r>
          </w:p>
        </w:tc>
      </w:tr>
      <w:tr>
        <w:tc>
          <w:tcPr>
            <w:tcW w:type="dxa" w:w="4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MinIO (Console web)</w:t>
            </w:r>
          </w:p>
        </w:tc>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4301</w:t>
            </w:r>
          </w:p>
        </w:tc>
        <w:tc>
          <w:tcPr>
            <w:tcW w:type="dxa" w:w="3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9001</w:t>
            </w:r>
          </w:p>
        </w:tc>
      </w:tr>
      <w:tr>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Prisma Studio</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4555</w:t>
            </w:r>
          </w:p>
        </w:tc>
        <w:tc>
          <w:tcPr>
            <w:tcW w:type="dxa" w:w="3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5555</w:t>
            </w:r>
          </w:p>
        </w:tc>
      </w:tr>
    </w:tbl>
    <w:p>
      <w:pPr>
        <w:spacing w:after="200"/>
      </w:pPr>
    </w:p>
    <w:p>
      <w:pPr>
        <w:pStyle w:val="Heading2"/>
      </w:pPr>
      <w:r>
        <w:t xml:space="preserve">3.4 Style architectural : approche modulaire pragmatique</w:t>
      </w:r>
    </w:p>
    <w:p>
      <w:pPr>
        <w:spacing w:after="160"/>
      </w:pPr>
      <w:r>
        <w:rPr>
          <w:b w:val="false"/>
          <w:bCs w:val="false"/>
          <w:i w:val="false"/>
          <w:iCs w:val="false"/>
          <w:sz w:val="22"/>
          <w:szCs w:val="22"/>
        </w:rPr>
        <w:t xml:space="preserve">Plutôt qu'une architecture hexagonale complète (séparation totale entre domaine métier et infrastructure via ports et adaptateurs), le projet adopte une approche modulaire « hexagonale-friendly », jugée plus adaptée au stade actuel du projet : elle conserve l'essentiel des bénéfices (testabilité, découplage) sans la charge de complexité d'un découpage complet en domaine/infrastructure.</w:t>
      </w:r>
    </w:p>
    <w:p>
      <w:pPr>
        <w:spacing w:after="160"/>
      </w:pPr>
      <w:r>
        <w:rPr>
          <w:b w:val="false"/>
          <w:bCs w:val="false"/>
          <w:i w:val="false"/>
          <w:iCs w:val="false"/>
          <w:sz w:val="22"/>
          <w:szCs w:val="22"/>
        </w:rPr>
        <w:t xml:space="preserve">Chaque module métier suit une stricte séparation en trois couches :</w:t>
      </w:r>
    </w:p>
    <w:p>
      <w:pPr>
        <w:pStyle w:val="ListParagraph"/>
        <w:numPr>
          <w:ilvl w:val="0"/>
          <w:numId w:val="2"/>
        </w:numPr>
        <w:spacing w:after="80"/>
      </w:pPr>
      <w:r>
        <w:rPr>
          <w:b/>
          <w:bCs/>
          <w:sz w:val="22"/>
          <w:szCs w:val="22"/>
        </w:rPr>
        <w:t xml:space="preserve">Controller — </w:t>
      </w:r>
      <w:r>
        <w:rPr>
          <w:sz w:val="22"/>
          <w:szCs w:val="22"/>
        </w:rPr>
        <w:t xml:space="preserve">reçoit les requêtes HTTP, valide leur format via des DTO, ne contient aucune logique métier.</w:t>
      </w:r>
    </w:p>
    <w:p>
      <w:pPr>
        <w:pStyle w:val="ListParagraph"/>
        <w:numPr>
          <w:ilvl w:val="0"/>
          <w:numId w:val="2"/>
        </w:numPr>
        <w:spacing w:after="80"/>
      </w:pPr>
      <w:r>
        <w:rPr>
          <w:b/>
          <w:bCs/>
          <w:sz w:val="22"/>
          <w:szCs w:val="22"/>
        </w:rPr>
        <w:t xml:space="preserve">Service — </w:t>
      </w:r>
      <w:r>
        <w:rPr>
          <w:sz w:val="22"/>
          <w:szCs w:val="22"/>
        </w:rPr>
        <w:t xml:space="preserve">contient les règles métier (validations, autorisations, orchestration). Ne dépend jamais directement de Prisma.</w:t>
      </w:r>
    </w:p>
    <w:p>
      <w:pPr>
        <w:pStyle w:val="ListParagraph"/>
        <w:numPr>
          <w:ilvl w:val="0"/>
          <w:numId w:val="2"/>
        </w:numPr>
        <w:spacing w:after="80"/>
      </w:pPr>
      <w:r>
        <w:rPr>
          <w:b/>
          <w:bCs/>
          <w:sz w:val="22"/>
          <w:szCs w:val="22"/>
        </w:rPr>
        <w:t xml:space="preserve">Repository — </w:t>
      </w:r>
      <w:r>
        <w:rPr>
          <w:sz w:val="22"/>
          <w:szCs w:val="22"/>
        </w:rPr>
        <w:t xml:space="preserve">unique couche qui communique avec la base de données via Prisma. Implémente une interface, ce qui permettrait de le substituer facilement dans des tests.</w:t>
      </w:r>
    </w:p>
    <w:p>
      <w:pPr>
        <w:spacing w:after="160"/>
      </w:pPr>
    </w:p>
    <w:p>
      <w:pPr>
        <w:spacing w:after="160"/>
      </w:pPr>
      <w:r>
        <w:rPr>
          <w:b w:val="false"/>
          <w:bCs w:val="false"/>
          <w:i/>
          <w:iCs/>
          <w:sz w:val="22"/>
          <w:szCs w:val="22"/>
        </w:rPr>
        <w:t xml:space="preserve">Ce découpage permet de faire évoluer une couche sans affecter les autres : une règle métier modifiée ne touche que le service concerné ; un changement d'ORM ou de fournisseur de stockage ne touche que le repository correspondant.</w:t>
      </w:r>
    </w:p>
    <w:p>
      <w:r>
        <w:br w:type="page"/>
      </w:r>
    </w:p>
    <w:p>
      <w:pPr>
        <w:pStyle w:val="Heading1"/>
      </w:pPr>
      <w:r>
        <w:t xml:space="preserve">4. Modèle de données</w:t>
      </w:r>
    </w:p>
    <w:p>
      <w:pPr>
        <w:spacing w:after="160"/>
      </w:pPr>
      <w:r>
        <w:rPr>
          <w:b w:val="false"/>
          <w:bCs w:val="false"/>
          <w:i w:val="false"/>
          <w:iCs w:val="false"/>
          <w:sz w:val="22"/>
          <w:szCs w:val="22"/>
        </w:rPr>
        <w:t xml:space="preserve">Le schéma de données est géré via Prisma et s'articule autour de dix modèles principaux. Tous les identifiants sont des UUID (plutôt que des entiers auto-incrémentés) afin d'éviter toute collision en cas de migration ou réplication future, et de ne pas exposer d'identifiants prévisibles dans les URLs.</w:t>
      </w:r>
    </w:p>
    <w:p>
      <w:pPr>
        <w:pStyle w:val="Heading2"/>
      </w:pPr>
      <w:r>
        <w:t xml:space="preserve">4.1 Vue d'ensemble des entités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Modèle</w:t>
            </w:r>
          </w:p>
        </w:tc>
        <w:tc>
          <w:tcPr>
            <w:tcW w:type="dxa" w:w="72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Rôle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User</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Compte utilisateur : email, mot de passe haché, rôle, statut KYC.</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RefreshToken</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Jetons de rafraîchissement, permettant des sessions multiples (plusieurs appareils).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Organization</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Fiche d'une PME : raison sociale, numéro RCCM, secteur, statut de vérification.</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OrganizationMember</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Table de jointure liant un utilisateur à une organisation, avec un rôle (OWNER / MEMBER).</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FundingRequest</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Demande de financement émise par une PME : montant recherché, montant levé, statut, devise.</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Investment</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Engagement d'un investisseur sur une demande de financement (financement groupé).</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Document</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Fichier uploadé (KYC, justificatif, pièce jointe), avec référence vers l'object storage.</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ScoringReport</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Rapport de scoring d'une PME, calculé automatiquement puis validé par un humain (modèle hybride).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Dispute / DisputeMessage</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Litige ouvert entre un utilisateur et la plateforme, avec fil de messages.</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Notification</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Notification destinée à un utilisateur (in-app ou email), avec statut lu/non lu.</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AuditLog</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Journal immuable de toute action sensible effectuée sur la plateforme.</w:t>
            </w:r>
          </w:p>
        </w:tc>
      </w:tr>
    </w:tbl>
    <w:p>
      <w:pPr>
        <w:spacing w:after="200"/>
      </w:pPr>
    </w:p>
    <w:p>
      <w:pPr>
        <w:pStyle w:val="Heading2"/>
      </w:pPr>
      <w:r>
        <w:t xml:space="preserve">4.2 Règles de gestion structurantes</w:t>
      </w:r>
    </w:p>
    <w:p>
      <w:pPr>
        <w:pStyle w:val="Heading3"/>
      </w:pPr>
      <w:r>
        <w:t xml:space="preserve">4.2.1 Montants financiers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4"/>
              <w:left w:val="single" w:color="1E3A8A" w:sz="24"/>
              <w:bottom w:val="single" w:color="1E3A8A" w:sz="4"/>
              <w:right w:val="single" w:color="1E3A8A" w:sz="4"/>
            </w:tcBorders>
            <w:shd w:fill="EEF2FF" w:val="clear"/>
            <w:tcMar>
              <w:top w:type="dxa" w:w="160"/>
              <w:left w:type="dxa" w:w="220"/>
              <w:bottom w:type="dxa" w:w="160"/>
              <w:right w:type="dxa" w:w="220"/>
            </w:tcMar>
          </w:tcPr>
          <w:p>
            <w:pPr>
              <w:spacing w:after="60"/>
            </w:pPr>
            <w:r>
              <w:rPr>
                <w:b/>
                <w:bCs/>
                <w:color w:val="1E3A8A"/>
                <w:sz w:val="20"/>
                <w:szCs w:val="20"/>
              </w:rPr>
              <w:t xml:space="preserve">Règle absolue</w:t>
            </w:r>
          </w:p>
          <w:p>
            <w:r>
              <w:rPr>
                <w:sz w:val="20"/>
                <w:szCs w:val="20"/>
              </w:rPr>
              <w:t xml:space="preserve">Tous les montants financiers sont stockés en type Decimal (jamais Float). Un type à virgule flottante introduit des erreurs d'arrondi binaire inacceptables dès qu'il s'agit de manipuler de l'argent, même lorsque cet argent ne transite pas par la plateforme.</w:t>
            </w:r>
          </w:p>
        </w:tc>
      </w:tr>
    </w:tbl>
    <w:p>
      <w:pPr>
        <w:spacing w:after="160"/>
      </w:pPr>
    </w:p>
    <w:p>
      <w:pPr>
        <w:pStyle w:val="Heading3"/>
      </w:pPr>
      <w:r>
        <w:t xml:space="preserve">4.2.2 Organisations et appartenance</w:t>
      </w:r>
    </w:p>
    <w:p>
      <w:pPr>
        <w:spacing w:after="160"/>
      </w:pPr>
      <w:r>
        <w:rPr>
          <w:b w:val="false"/>
          <w:bCs w:val="false"/>
          <w:i w:val="false"/>
          <w:iCs w:val="false"/>
          <w:sz w:val="22"/>
          <w:szCs w:val="22"/>
        </w:rPr>
        <w:t xml:space="preserve">Un utilisateur PME_OWNER peut créer plusieurs organisations. La création d'une organisation s'effectue dans une transaction atomique : l'organisation et son membre propriétaire (OWNER) sont créés ensemble, ou aucun des deux n'est créé en cas d'échec. Cela garantit qu'aucune organisation ne se trouve jamais sans propriétaire.</w:t>
      </w:r>
    </w:p>
    <w:p>
      <w:pPr>
        <w:pStyle w:val="Heading3"/>
      </w:pPr>
      <w:r>
        <w:t xml:space="preserve">4.2.3 Demandes de financement multiples</w:t>
      </w:r>
    </w:p>
    <w:p>
      <w:pPr>
        <w:spacing w:after="160"/>
      </w:pPr>
      <w:r>
        <w:rPr>
          <w:b w:val="false"/>
          <w:bCs w:val="false"/>
          <w:i w:val="false"/>
          <w:iCs w:val="false"/>
          <w:sz w:val="22"/>
          <w:szCs w:val="22"/>
        </w:rPr>
        <w:t xml:space="preserve">Une même organisation peut avoir plusieurs demandes de financement actives en parallèle.</w:t>
      </w:r>
    </w:p>
    <w:p>
      <w:pPr>
        <w:pStyle w:val="Heading3"/>
      </w:pPr>
      <w:r>
        <w:t xml:space="preserve">4.2.4 Financement groupé et plafonnement strict</w:t>
      </w:r>
    </w:p>
    <w:p>
      <w:pPr>
        <w:spacing w:after="160"/>
      </w:pPr>
      <w:r>
        <w:rPr>
          <w:b w:val="false"/>
          <w:bCs w:val="false"/>
          <w:i w:val="false"/>
          <w:iCs w:val="false"/>
          <w:sz w:val="22"/>
          <w:szCs w:val="22"/>
        </w:rPr>
        <w:t xml:space="preserve">Plusieurs investisseurs peuvent s'engager sur une même demande de financement (financement participatif). La somme des engagements actifs (statuts COMMITTED et SETTLED_OFF_PLATFORM) ne peut jamais dépasser le montant recherché par la demande. Cette vérification est effectuée à l'intérieur d'une transaction PostgreSQL afin de garantir la cohérence en cas d'engagements simultanés par plusieurs investisseurs (protection contre les conditions de concurrence).</w:t>
      </w:r>
    </w:p>
    <w:p>
      <w:pPr>
        <w:pStyle w:val="Heading3"/>
      </w:pPr>
      <w:r>
        <w:t xml:space="preserve">4.2.5 Cycle de vie d'une demande de financement</w:t>
      </w:r>
    </w:p>
    <w:p>
      <w:pPr>
        <w:spacing w:after="160"/>
      </w:pPr>
      <w:r>
        <w:rPr>
          <w:b w:val="false"/>
          <w:bCs w:val="false"/>
          <w:i w:val="false"/>
          <w:iCs w:val="false"/>
          <w:sz w:val="22"/>
          <w:szCs w:val="22"/>
        </w:rPr>
        <w:t xml:space="preserve">Une demande de financement suit un cycle de statuts strictement contrôlé :</w:t>
      </w:r>
    </w:p>
    <w:p>
      <w:pPr>
        <w:pStyle w:val="ListParagraph"/>
        <w:numPr>
          <w:ilvl w:val="0"/>
          <w:numId w:val="2"/>
        </w:numPr>
        <w:spacing w:after="80"/>
      </w:pPr>
      <w:r>
        <w:rPr>
          <w:sz w:val="22"/>
          <w:szCs w:val="22"/>
        </w:rPr>
        <w:t xml:space="preserve">DRAFT (brouillon) — la demande est en cours de rédaction par la PME.</w:t>
      </w:r>
    </w:p>
    <w:p>
      <w:pPr>
        <w:pStyle w:val="ListParagraph"/>
        <w:numPr>
          <w:ilvl w:val="0"/>
          <w:numId w:val="2"/>
        </w:numPr>
        <w:spacing w:after="80"/>
      </w:pPr>
      <w:r>
        <w:rPr>
          <w:sz w:val="22"/>
          <w:szCs w:val="22"/>
        </w:rPr>
        <w:t xml:space="preserve">UNDER_REVIEW (en révision) — la demande a été soumise et attend la validation d'un administrateur.</w:t>
      </w:r>
    </w:p>
    <w:p>
      <w:pPr>
        <w:pStyle w:val="ListParagraph"/>
        <w:numPr>
          <w:ilvl w:val="0"/>
          <w:numId w:val="2"/>
        </w:numPr>
        <w:spacing w:after="80"/>
      </w:pPr>
      <w:r>
        <w:rPr>
          <w:sz w:val="22"/>
          <w:szCs w:val="22"/>
        </w:rPr>
        <w:t xml:space="preserve">PUBLISHED (publiée) — la demande est visible publiquement et ouverte aux engagements des investisseurs.</w:t>
      </w:r>
    </w:p>
    <w:p>
      <w:pPr>
        <w:pStyle w:val="ListParagraph"/>
        <w:numPr>
          <w:ilvl w:val="0"/>
          <w:numId w:val="2"/>
        </w:numPr>
        <w:spacing w:after="80"/>
      </w:pPr>
      <w:r>
        <w:rPr>
          <w:sz w:val="22"/>
          <w:szCs w:val="22"/>
        </w:rPr>
        <w:t xml:space="preserve">FUNDED (financée) — le montant recherché a été intégralement levé.</w:t>
      </w:r>
    </w:p>
    <w:p>
      <w:pPr>
        <w:pStyle w:val="ListParagraph"/>
        <w:numPr>
          <w:ilvl w:val="0"/>
          <w:numId w:val="2"/>
        </w:numPr>
        <w:spacing w:after="80"/>
      </w:pPr>
      <w:r>
        <w:rPr>
          <w:sz w:val="22"/>
          <w:szCs w:val="22"/>
        </w:rPr>
        <w:t xml:space="preserve">REJECTED (rejetée) — la demande a été refusée par un administrateur.</w:t>
      </w:r>
    </w:p>
    <w:p>
      <w:pPr>
        <w:pStyle w:val="ListParagraph"/>
        <w:numPr>
          <w:ilvl w:val="0"/>
          <w:numId w:val="2"/>
        </w:numPr>
        <w:spacing w:after="80"/>
      </w:pPr>
      <w:r>
        <w:rPr>
          <w:sz w:val="22"/>
          <w:szCs w:val="22"/>
        </w:rPr>
        <w:t xml:space="preserve">CLOSED / CANCELLED — la demande est clôturée ou annulée.</w:t>
      </w:r>
    </w:p>
    <w:p>
      <w:pPr>
        <w:spacing w:after="160"/>
      </w:pPr>
    </w:p>
    <w:p>
      <w:pPr>
        <w:spacing w:after="160"/>
      </w:pPr>
      <w:r>
        <w:rPr>
          <w:b w:val="false"/>
          <w:bCs w:val="false"/>
          <w:i/>
          <w:iCs/>
          <w:sz w:val="22"/>
          <w:szCs w:val="22"/>
        </w:rPr>
        <w:t xml:space="preserve">Chaque transition est contrôlée par le service métier correspondant : il est par exemple impossible de soumettre à nouveau en révision une demande déjà publiée, ou d'approuver une demande qui n'est pas en statut « en révision ».</w:t>
      </w:r>
    </w:p>
    <w:p>
      <w:pPr>
        <w:pStyle w:val="Heading3"/>
      </w:pPr>
      <w:r>
        <w:t xml:space="preserve">4.2.6 Cycle de vie d'un engagement investisseur</w:t>
      </w:r>
    </w:p>
    <w:p>
      <w:pPr>
        <w:pStyle w:val="ListParagraph"/>
        <w:numPr>
          <w:ilvl w:val="0"/>
          <w:numId w:val="2"/>
        </w:numPr>
        <w:spacing w:after="80"/>
      </w:pPr>
      <w:r>
        <w:rPr>
          <w:sz w:val="22"/>
          <w:szCs w:val="22"/>
        </w:rPr>
        <w:t xml:space="preserve">COMMITTED — l'investisseur s'est engagé ; le montant est réservé contre le plafond de la demande.</w:t>
      </w:r>
    </w:p>
    <w:p>
      <w:pPr>
        <w:pStyle w:val="ListParagraph"/>
        <w:numPr>
          <w:ilvl w:val="0"/>
          <w:numId w:val="2"/>
        </w:numPr>
        <w:spacing w:after="80"/>
      </w:pPr>
      <w:r>
        <w:rPr>
          <w:sz w:val="22"/>
          <w:szCs w:val="22"/>
        </w:rPr>
        <w:t xml:space="preserve">SETTLED_OFF_PLATFORM — l'investisseur a confirmé avoir réglé le montant hors plateforme, avec justificatif.</w:t>
      </w:r>
    </w:p>
    <w:p>
      <w:pPr>
        <w:pStyle w:val="ListParagraph"/>
        <w:numPr>
          <w:ilvl w:val="0"/>
          <w:numId w:val="2"/>
        </w:numPr>
        <w:spacing w:after="80"/>
      </w:pPr>
      <w:r>
        <w:rPr>
          <w:sz w:val="22"/>
          <w:szCs w:val="22"/>
        </w:rPr>
        <w:t xml:space="preserve">CANCELLED — l'engagement a été annulé.</w:t>
      </w:r>
    </w:p>
    <w:p>
      <w:pPr>
        <w:spacing w:after="160"/>
      </w:pPr>
    </w:p>
    <w:p>
      <w:pPr>
        <w:spacing w:after="160"/>
      </w:pPr>
      <w:r>
        <w:rPr>
          <w:b w:val="false"/>
          <w:bCs w:val="false"/>
          <w:i w:val="false"/>
          <w:iCs w:val="false"/>
          <w:sz w:val="22"/>
          <w:szCs w:val="22"/>
        </w:rPr>
        <w:t xml:space="preserve">Le montant levé d'une demande (amountRaised) est recalculé depuis la somme exacte des engagements confirmés à chaque confirmation de règlement, plutôt qu'incrémenté progressivement. Cette approche évite toute dérive cumulative en cas de nouvelle tentative après une erreur réseau.</w:t>
      </w:r>
    </w:p>
    <w:p>
      <w:pPr>
        <w:pStyle w:val="Heading3"/>
      </w:pPr>
      <w:r>
        <w:t xml:space="preserve">4.2.7 Scoring hybride</w:t>
      </w:r>
    </w:p>
    <w:p>
      <w:pPr>
        <w:spacing w:after="160"/>
      </w:pPr>
      <w:r>
        <w:rPr>
          <w:b w:val="false"/>
          <w:bCs w:val="false"/>
          <w:i w:val="false"/>
          <w:iCs w:val="false"/>
          <w:sz w:val="22"/>
          <w:szCs w:val="22"/>
        </w:rPr>
        <w:t xml:space="preserve">Le score d'une PME (Score LeFinancier) combine un calcul automatique (à partir des documents et indicateurs financiers fournis) et une validation humaine par l'équipe back-office avant qu'il ne devienne définitif. Les indicateurs utilisés pour un calcul donné sont figés au moment du calcul (format JSON), afin de ne pas nécessiter de migration de base de données chaque fois que la méthode de scoring évolue.</w:t>
      </w:r>
    </w:p>
    <w:p>
      <w:pPr>
        <w:pStyle w:val="Heading3"/>
      </w:pPr>
      <w:r>
        <w:t xml:space="preserve">4.2.8 Documents et stockage</w:t>
      </w:r>
    </w:p>
    <w:p>
      <w:pPr>
        <w:spacing w:after="160"/>
      </w:pPr>
      <w:r>
        <w:rPr>
          <w:b w:val="false"/>
          <w:bCs w:val="false"/>
          <w:i w:val="false"/>
          <w:iCs w:val="false"/>
          <w:sz w:val="22"/>
          <w:szCs w:val="22"/>
        </w:rPr>
        <w:t xml:space="preserve">Aucun fichier n'est stocké en base de données. Seule une référence (clé de stockage) y est conservée ; le contenu réel réside dans l'object storage (MinIO en développement, compatible avec une migration vers AWS S3 en production sans modification du code métier). Le téléchargement d'un document s'effectue via une URL signée à durée de validité limitée (5 minutes par défaut), jamais via une URL publique permanente.</w:t>
      </w:r>
    </w:p>
    <w:p>
      <w:r>
        <w:br w:type="page"/>
      </w:r>
    </w:p>
    <w:p>
      <w:pPr>
        <w:pStyle w:val="Heading1"/>
      </w:pPr>
      <w:r>
        <w:t xml:space="preserve">5. Modules backend</w:t>
      </w:r>
    </w:p>
    <w:p>
      <w:pPr>
        <w:spacing w:after="160"/>
      </w:pPr>
      <w:r>
        <w:rPr>
          <w:b w:val="false"/>
          <w:bCs w:val="false"/>
          <w:i w:val="false"/>
          <w:iCs w:val="false"/>
          <w:sz w:val="22"/>
          <w:szCs w:val="22"/>
        </w:rPr>
        <w:t xml:space="preserve">Le backend NestJS est organisé en modules indépendants, chacun responsable d'un domaine métier précis.</w:t>
      </w:r>
    </w:p>
    <w:p>
      <w:pPr>
        <w:pStyle w:val="Heading2"/>
      </w:pPr>
      <w:r>
        <w:t xml:space="preserve">5.1 Module Auth</w:t>
      </w:r>
    </w:p>
    <w:p>
      <w:pPr>
        <w:pStyle w:val="ListParagraph"/>
        <w:numPr>
          <w:ilvl w:val="0"/>
          <w:numId w:val="2"/>
        </w:numPr>
        <w:spacing w:after="80"/>
      </w:pPr>
      <w:r>
        <w:rPr>
          <w:b/>
          <w:bCs/>
          <w:sz w:val="22"/>
          <w:szCs w:val="22"/>
        </w:rPr>
        <w:t xml:space="preserve">Inscription — </w:t>
      </w:r>
      <w:r>
        <w:rPr>
          <w:sz w:val="22"/>
          <w:szCs w:val="22"/>
        </w:rPr>
        <w:t xml:space="preserve">trois parcours distincts : propriétaire de PME, investisseur particulier, investisseur institutionnel.</w:t>
      </w:r>
    </w:p>
    <w:p>
      <w:pPr>
        <w:pStyle w:val="ListParagraph"/>
        <w:numPr>
          <w:ilvl w:val="0"/>
          <w:numId w:val="2"/>
        </w:numPr>
        <w:spacing w:after="80"/>
      </w:pPr>
      <w:r>
        <w:rPr>
          <w:b/>
          <w:bCs/>
          <w:sz w:val="22"/>
          <w:szCs w:val="22"/>
        </w:rPr>
        <w:t xml:space="preserve">Connexion — </w:t>
      </w:r>
      <w:r>
        <w:rPr>
          <w:sz w:val="22"/>
          <w:szCs w:val="22"/>
        </w:rPr>
        <w:t xml:space="preserve">vérification des identifiants, génération d'un jeton JWT (durée de vie : 15 minutes).</w:t>
      </w:r>
    </w:p>
    <w:p>
      <w:pPr>
        <w:pStyle w:val="ListParagraph"/>
        <w:numPr>
          <w:ilvl w:val="0"/>
          <w:numId w:val="2"/>
        </w:numPr>
        <w:spacing w:after="80"/>
      </w:pPr>
      <w:r>
        <w:rPr>
          <w:b/>
          <w:bCs/>
          <w:sz w:val="22"/>
          <w:szCs w:val="22"/>
        </w:rPr>
        <w:t xml:space="preserve">Sécurité des mots de passe — </w:t>
      </w:r>
      <w:r>
        <w:rPr>
          <w:sz w:val="22"/>
          <w:szCs w:val="22"/>
        </w:rPr>
        <w:t xml:space="preserve">hashage via bcrypt (12 rounds), jamais de mot de passe en clair stocké ou journalisé.</w:t>
      </w:r>
    </w:p>
    <w:p>
      <w:pPr>
        <w:pStyle w:val="ListParagraph"/>
        <w:numPr>
          <w:ilvl w:val="0"/>
          <w:numId w:val="2"/>
        </w:numPr>
        <w:spacing w:after="80"/>
      </w:pPr>
      <w:r>
        <w:rPr>
          <w:b/>
          <w:bCs/>
          <w:sz w:val="22"/>
          <w:szCs w:val="22"/>
        </w:rPr>
        <w:t xml:space="preserve">Protection des routes — </w:t>
      </w:r>
      <w:r>
        <w:rPr>
          <w:sz w:val="22"/>
          <w:szCs w:val="22"/>
        </w:rPr>
        <w:t xml:space="preserve">garde d'authentification (JwtAuthGuard) vérifiant la validité du jeton sur les routes privées.</w:t>
      </w:r>
    </w:p>
    <w:p>
      <w:pPr>
        <w:pStyle w:val="ListParagraph"/>
        <w:numPr>
          <w:ilvl w:val="0"/>
          <w:numId w:val="2"/>
        </w:numPr>
        <w:spacing w:after="80"/>
      </w:pPr>
      <w:r>
        <w:rPr>
          <w:b/>
          <w:bCs/>
          <w:sz w:val="22"/>
          <w:szCs w:val="22"/>
        </w:rPr>
        <w:t xml:space="preserve">Contrôle par rôle — </w:t>
      </w:r>
      <w:r>
        <w:rPr>
          <w:sz w:val="22"/>
          <w:szCs w:val="22"/>
        </w:rPr>
        <w:t xml:space="preserve">garde de rôles (RolesGuard) réutilisable, combiné à un décorateur @Roles(), pour restreindre certaines actions aux administrateurs.</w:t>
      </w:r>
    </w:p>
    <w:p>
      <w:pPr>
        <w:spacing w:after="200"/>
      </w:pPr>
    </w:p>
    <w:p>
      <w:pPr>
        <w:pStyle w:val="Heading2"/>
      </w:pPr>
      <w:r>
        <w:t xml:space="preserve">5.2 Module Organizations</w:t>
      </w:r>
    </w:p>
    <w:p>
      <w:pPr>
        <w:pStyle w:val="ListParagraph"/>
        <w:numPr>
          <w:ilvl w:val="0"/>
          <w:numId w:val="2"/>
        </w:numPr>
        <w:spacing w:after="80"/>
      </w:pPr>
      <w:r>
        <w:rPr>
          <w:b/>
          <w:bCs/>
          <w:sz w:val="22"/>
          <w:szCs w:val="22"/>
        </w:rPr>
        <w:t xml:space="preserve">Création — </w:t>
      </w:r>
      <w:r>
        <w:rPr>
          <w:sz w:val="22"/>
          <w:szCs w:val="22"/>
        </w:rPr>
        <w:t xml:space="preserve">création d'une fiche PME avec transaction atomique (organisation + membre propriétaire).</w:t>
      </w:r>
    </w:p>
    <w:p>
      <w:pPr>
        <w:pStyle w:val="ListParagraph"/>
        <w:numPr>
          <w:ilvl w:val="0"/>
          <w:numId w:val="2"/>
        </w:numPr>
        <w:spacing w:after="80"/>
      </w:pPr>
      <w:r>
        <w:rPr>
          <w:b/>
          <w:bCs/>
          <w:sz w:val="22"/>
          <w:szCs w:val="22"/>
        </w:rPr>
        <w:t xml:space="preserve">Consultation — </w:t>
      </w:r>
      <w:r>
        <w:rPr>
          <w:sz w:val="22"/>
          <w:szCs w:val="22"/>
        </w:rPr>
        <w:t xml:space="preserve">liste des organisations appartenant à l'utilisateur connecté.</w:t>
      </w:r>
    </w:p>
    <w:p>
      <w:pPr>
        <w:pStyle w:val="ListParagraph"/>
        <w:numPr>
          <w:ilvl w:val="0"/>
          <w:numId w:val="2"/>
        </w:numPr>
        <w:spacing w:after="80"/>
      </w:pPr>
      <w:r>
        <w:rPr>
          <w:b/>
          <w:bCs/>
          <w:sz w:val="22"/>
          <w:szCs w:val="22"/>
        </w:rPr>
        <w:t xml:space="preserve">Contrôle d'accès — </w:t>
      </w:r>
      <w:r>
        <w:rPr>
          <w:sz w:val="22"/>
          <w:szCs w:val="22"/>
        </w:rPr>
        <w:t xml:space="preserve">vérification d'appartenance systématique avant toute consultation ou modification d'une organisation précise.</w:t>
      </w:r>
    </w:p>
    <w:p>
      <w:pPr>
        <w:spacing w:after="200"/>
      </w:pPr>
    </w:p>
    <w:p>
      <w:pPr>
        <w:pStyle w:val="Heading2"/>
      </w:pPr>
      <w:r>
        <w:t xml:space="preserve">5.3 Module Funding</w:t>
      </w:r>
    </w:p>
    <w:p>
      <w:pPr>
        <w:pStyle w:val="ListParagraph"/>
        <w:numPr>
          <w:ilvl w:val="0"/>
          <w:numId w:val="2"/>
        </w:numPr>
        <w:spacing w:after="80"/>
      </w:pPr>
      <w:r>
        <w:rPr>
          <w:b/>
          <w:bCs/>
          <w:sz w:val="22"/>
          <w:szCs w:val="22"/>
        </w:rPr>
        <w:t xml:space="preserve">Création d'une demande — </w:t>
      </w:r>
      <w:r>
        <w:rPr>
          <w:sz w:val="22"/>
          <w:szCs w:val="22"/>
        </w:rPr>
        <w:t xml:space="preserve">réservée aux membres de l'organisation concernée.</w:t>
      </w:r>
    </w:p>
    <w:p>
      <w:pPr>
        <w:pStyle w:val="ListParagraph"/>
        <w:numPr>
          <w:ilvl w:val="0"/>
          <w:numId w:val="2"/>
        </w:numPr>
        <w:spacing w:after="80"/>
      </w:pPr>
      <w:r>
        <w:rPr>
          <w:b/>
          <w:bCs/>
          <w:sz w:val="22"/>
          <w:szCs w:val="22"/>
        </w:rPr>
        <w:t xml:space="preserve">Soumission pour révision — </w:t>
      </w:r>
      <w:r>
        <w:rPr>
          <w:sz w:val="22"/>
          <w:szCs w:val="22"/>
        </w:rPr>
        <w:t xml:space="preserve">transition contrôlée du statut brouillon vers en révision.</w:t>
      </w:r>
    </w:p>
    <w:p>
      <w:pPr>
        <w:pStyle w:val="ListParagraph"/>
        <w:numPr>
          <w:ilvl w:val="0"/>
          <w:numId w:val="2"/>
        </w:numPr>
        <w:spacing w:after="80"/>
      </w:pPr>
      <w:r>
        <w:rPr>
          <w:b/>
          <w:bCs/>
          <w:sz w:val="22"/>
          <w:szCs w:val="22"/>
        </w:rPr>
        <w:t xml:space="preserve">Approbation / rejet — </w:t>
      </w:r>
      <w:r>
        <w:rPr>
          <w:sz w:val="22"/>
          <w:szCs w:val="22"/>
        </w:rPr>
        <w:t xml:space="preserve">actions réservées aux administrateurs, avec vérification stricte du statut courant avant transition.</w:t>
      </w:r>
    </w:p>
    <w:p>
      <w:pPr>
        <w:pStyle w:val="ListParagraph"/>
        <w:numPr>
          <w:ilvl w:val="0"/>
          <w:numId w:val="2"/>
        </w:numPr>
        <w:spacing w:after="80"/>
      </w:pPr>
      <w:r>
        <w:rPr>
          <w:b/>
          <w:bCs/>
          <w:sz w:val="22"/>
          <w:szCs w:val="22"/>
        </w:rPr>
        <w:t xml:space="preserve">Consultation publique — </w:t>
      </w:r>
      <w:r>
        <w:rPr>
          <w:sz w:val="22"/>
          <w:szCs w:val="22"/>
        </w:rPr>
        <w:t xml:space="preserve">liste des demandes publiées, accessible sans authentification.</w:t>
      </w:r>
    </w:p>
    <w:p>
      <w:pPr>
        <w:spacing w:after="200"/>
      </w:pPr>
    </w:p>
    <w:p>
      <w:pPr>
        <w:pStyle w:val="Heading2"/>
      </w:pPr>
      <w:r>
        <w:t xml:space="preserve">5.4 Module Investments</w:t>
      </w:r>
    </w:p>
    <w:p>
      <w:pPr>
        <w:pStyle w:val="ListParagraph"/>
        <w:numPr>
          <w:ilvl w:val="0"/>
          <w:numId w:val="2"/>
        </w:numPr>
        <w:spacing w:after="80"/>
      </w:pPr>
      <w:r>
        <w:rPr>
          <w:b/>
          <w:bCs/>
          <w:sz w:val="22"/>
          <w:szCs w:val="22"/>
        </w:rPr>
        <w:t xml:space="preserve">Engagement — </w:t>
      </w:r>
      <w:r>
        <w:rPr>
          <w:sz w:val="22"/>
          <w:szCs w:val="22"/>
        </w:rPr>
        <w:t xml:space="preserve">création d'un engagement avec vérification du plafond disponible, à l'intérieur d'une transaction protégée contre la concurrence.</w:t>
      </w:r>
    </w:p>
    <w:p>
      <w:pPr>
        <w:pStyle w:val="ListParagraph"/>
        <w:numPr>
          <w:ilvl w:val="0"/>
          <w:numId w:val="2"/>
        </w:numPr>
        <w:spacing w:after="80"/>
      </w:pPr>
      <w:r>
        <w:rPr>
          <w:b/>
          <w:bCs/>
          <w:sz w:val="22"/>
          <w:szCs w:val="22"/>
        </w:rPr>
        <w:t xml:space="preserve">Confirmation de règlement — </w:t>
      </w:r>
      <w:r>
        <w:rPr>
          <w:sz w:val="22"/>
          <w:szCs w:val="22"/>
        </w:rPr>
        <w:t xml:space="preserve">passage au statut confirmé, avec justificatif, recalcul du montant levé et passage automatique de la demande au statut Financée si le montant cible est atteint.</w:t>
      </w:r>
    </w:p>
    <w:p>
      <w:pPr>
        <w:pStyle w:val="ListParagraph"/>
        <w:numPr>
          <w:ilvl w:val="0"/>
          <w:numId w:val="2"/>
        </w:numPr>
        <w:spacing w:after="80"/>
      </w:pPr>
      <w:r>
        <w:rPr>
          <w:b/>
          <w:bCs/>
          <w:sz w:val="22"/>
          <w:szCs w:val="22"/>
        </w:rPr>
        <w:t xml:space="preserve">Consultation — </w:t>
      </w:r>
      <w:r>
        <w:rPr>
          <w:sz w:val="22"/>
          <w:szCs w:val="22"/>
        </w:rPr>
        <w:t xml:space="preserve">par investisseur (son portefeuille) et par organisation (les offres reçues).</w:t>
      </w:r>
    </w:p>
    <w:p>
      <w:pPr>
        <w:spacing w:after="200"/>
      </w:pPr>
    </w:p>
    <w:p>
      <w:pPr>
        <w:pStyle w:val="Heading2"/>
      </w:pPr>
      <w:r>
        <w:t xml:space="preserve">5.5 Module Documents</w:t>
      </w:r>
    </w:p>
    <w:p>
      <w:pPr>
        <w:pStyle w:val="ListParagraph"/>
        <w:numPr>
          <w:ilvl w:val="0"/>
          <w:numId w:val="2"/>
        </w:numPr>
        <w:spacing w:after="80"/>
      </w:pPr>
      <w:r>
        <w:rPr>
          <w:b/>
          <w:bCs/>
          <w:sz w:val="22"/>
          <w:szCs w:val="22"/>
        </w:rPr>
        <w:t xml:space="preserve">Upload — </w:t>
      </w:r>
      <w:r>
        <w:rPr>
          <w:sz w:val="22"/>
          <w:szCs w:val="22"/>
        </w:rPr>
        <w:t xml:space="preserve">réception de fichiers multipart, validation du type MIME et de la taille (limite : 10 Mo), stockage dans MinIO.</w:t>
      </w:r>
    </w:p>
    <w:p>
      <w:pPr>
        <w:pStyle w:val="ListParagraph"/>
        <w:numPr>
          <w:ilvl w:val="0"/>
          <w:numId w:val="2"/>
        </w:numPr>
        <w:spacing w:after="80"/>
      </w:pPr>
      <w:r>
        <w:rPr>
          <w:b/>
          <w:bCs/>
          <w:sz w:val="22"/>
          <w:szCs w:val="22"/>
        </w:rPr>
        <w:t xml:space="preserve">Téléchargement sécurisé — </w:t>
      </w:r>
      <w:r>
        <w:rPr>
          <w:sz w:val="22"/>
          <w:szCs w:val="22"/>
        </w:rPr>
        <w:t xml:space="preserve">génération d'URL signée à durée limitée.</w:t>
      </w:r>
    </w:p>
    <w:p>
      <w:pPr>
        <w:pStyle w:val="ListParagraph"/>
        <w:numPr>
          <w:ilvl w:val="0"/>
          <w:numId w:val="2"/>
        </w:numPr>
        <w:spacing w:after="80"/>
      </w:pPr>
      <w:r>
        <w:rPr>
          <w:b/>
          <w:bCs/>
          <w:sz w:val="22"/>
          <w:szCs w:val="22"/>
        </w:rPr>
        <w:t xml:space="preserve">Checklist KYC dynamique — </w:t>
      </w:r>
      <w:r>
        <w:rPr>
          <w:sz w:val="22"/>
          <w:szCs w:val="22"/>
        </w:rPr>
        <w:t xml:space="preserve">liste des documents obligatoires calculée par le code métier (incluant les millésimes glissants, par exemple le bilan de l'année précédente), comparée aux documents effectivement fournis pour déterminer un statut Validé / En révision / Manquant par exigence.</w:t>
      </w:r>
    </w:p>
    <w:p>
      <w:pPr>
        <w:spacing w:after="200"/>
      </w:pPr>
    </w:p>
    <w:p>
      <w:pPr>
        <w:pStyle w:val="Heading2"/>
      </w:pPr>
      <w:r>
        <w:t xml:space="preserve">5.6 Module Notifications</w:t>
      </w:r>
    </w:p>
    <w:p>
      <w:pPr>
        <w:pStyle w:val="ListParagraph"/>
        <w:numPr>
          <w:ilvl w:val="0"/>
          <w:numId w:val="2"/>
        </w:numPr>
        <w:spacing w:after="80"/>
      </w:pPr>
      <w:r>
        <w:rPr>
          <w:b/>
          <w:bCs/>
          <w:sz w:val="22"/>
          <w:szCs w:val="22"/>
        </w:rPr>
        <w:t xml:space="preserve">Création — </w:t>
      </w:r>
      <w:r>
        <w:rPr>
          <w:sz w:val="22"/>
          <w:szCs w:val="22"/>
        </w:rPr>
        <w:t xml:space="preserve">point d'entrée unique (notify) appelé par les autres modules métier lors d'un événement pertinent (par exemple un nouvel engagement investisseur).</w:t>
      </w:r>
    </w:p>
    <w:p>
      <w:pPr>
        <w:pStyle w:val="ListParagraph"/>
        <w:numPr>
          <w:ilvl w:val="0"/>
          <w:numId w:val="2"/>
        </w:numPr>
        <w:spacing w:after="80"/>
      </w:pPr>
      <w:r>
        <w:rPr>
          <w:b/>
          <w:bCs/>
          <w:sz w:val="22"/>
          <w:szCs w:val="22"/>
        </w:rPr>
        <w:t xml:space="preserve">Persistance — </w:t>
      </w:r>
      <w:r>
        <w:rPr>
          <w:sz w:val="22"/>
          <w:szCs w:val="22"/>
        </w:rPr>
        <w:t xml:space="preserve">toute notification est sauvegardée en base, indépendamment de la connexion de son destinataire.</w:t>
      </w:r>
    </w:p>
    <w:p>
      <w:pPr>
        <w:pStyle w:val="ListParagraph"/>
        <w:numPr>
          <w:ilvl w:val="0"/>
          <w:numId w:val="2"/>
        </w:numPr>
        <w:spacing w:after="80"/>
      </w:pPr>
      <w:r>
        <w:rPr>
          <w:b/>
          <w:bCs/>
          <w:sz w:val="22"/>
          <w:szCs w:val="22"/>
        </w:rPr>
        <w:t xml:space="preserve">Diffusion temps réel — </w:t>
      </w:r>
      <w:r>
        <w:rPr>
          <w:sz w:val="22"/>
          <w:szCs w:val="22"/>
        </w:rPr>
        <w:t xml:space="preserve">émission WebSocket vers les sockets actifs de l'utilisateur concerné (gestion du multi-onglets / multi-appareils).</w:t>
      </w:r>
    </w:p>
    <w:p>
      <w:pPr>
        <w:pStyle w:val="ListParagraph"/>
        <w:numPr>
          <w:ilvl w:val="0"/>
          <w:numId w:val="2"/>
        </w:numPr>
        <w:spacing w:after="80"/>
      </w:pPr>
      <w:r>
        <w:rPr>
          <w:b/>
          <w:bCs/>
          <w:sz w:val="22"/>
          <w:szCs w:val="22"/>
        </w:rPr>
        <w:t xml:space="preserve">Consultation — </w:t>
      </w:r>
      <w:r>
        <w:rPr>
          <w:sz w:val="22"/>
          <w:szCs w:val="22"/>
        </w:rPr>
        <w:t xml:space="preserve">liste des notifications, comptage des non lues, marquage individuel ou global comme lues.</w:t>
      </w:r>
    </w:p>
    <w:p>
      <w:r>
        <w:br w:type="page"/>
      </w:r>
    </w:p>
    <w:p>
      <w:pPr>
        <w:pStyle w:val="Heading1"/>
      </w:pPr>
      <w:r>
        <w:t xml:space="preserve">6. Frontend</w:t>
      </w:r>
    </w:p>
    <w:p>
      <w:pPr>
        <w:pStyle w:val="Heading2"/>
      </w:pPr>
      <w:r>
        <w:t xml:space="preserve">6.1 Principes généraux</w:t>
      </w:r>
    </w:p>
    <w:p>
      <w:pPr>
        <w:spacing w:after="160"/>
      </w:pPr>
      <w:r>
        <w:rPr>
          <w:b w:val="false"/>
          <w:bCs w:val="false"/>
          <w:i w:val="false"/>
          <w:iCs w:val="false"/>
          <w:sz w:val="22"/>
          <w:szCs w:val="22"/>
        </w:rPr>
        <w:t xml:space="preserve">L'interface est développée avec Next.js (App Router) et Tailwind CSS, en suivant fidèlement les maquettes Figma fournies par le Dothan Group. Une palette de couleurs et des composants réutilisables (logo, sidebar, zones d'upload) ont été extraits des maquettes afin de garantir une cohérence visuelle sur l'ensemble des écrans.</w:t>
      </w:r>
    </w:p>
    <w:p>
      <w:pPr>
        <w:spacing w:after="160"/>
      </w:pPr>
      <w:r>
        <w:rPr>
          <w:b w:val="false"/>
          <w:bCs w:val="false"/>
          <w:i w:val="false"/>
          <w:iCs w:val="false"/>
          <w:sz w:val="22"/>
          <w:szCs w:val="22"/>
        </w:rPr>
        <w:t xml:space="preserve">Les appels à l'API sont centralisés dans un client unique, et l'état de connexion de l'utilisateur est géré via un contexte React partagé (jeton stocké en sessionStorage, effacé à la fermeture de l'onglet pour limiter la fenêtre d'exposition en cas d'appareil partagé).</w:t>
      </w:r>
    </w:p>
    <w:p>
      <w:pPr>
        <w:pStyle w:val="Heading2"/>
      </w:pPr>
      <w:r>
        <w:t xml:space="preserve">6.2 Écrans livrés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Écran</w:t>
            </w:r>
          </w:p>
        </w:tc>
        <w:tc>
          <w:tcPr>
            <w:tcW w:type="dxa" w:w="66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Statut</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Connexion</w:t>
            </w:r>
          </w:p>
        </w:tc>
        <w:tc>
          <w:tcPr>
            <w:tcW w:type="dxa" w:w="66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Fonctionnel, fidèle à la maquette Figma.</w:t>
            </w:r>
          </w:p>
        </w:tc>
      </w:tr>
      <w:tr>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Inscription (PME / Investisseur / Institution)</w:t>
            </w:r>
          </w:p>
        </w:tc>
        <w:tc>
          <w:tcPr>
            <w:tcW w:type="dxa" w:w="66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Fonctionnel, avec sélection du type et du sous-type de compte.</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Dashboard PME — vue d'ensemble</w:t>
            </w:r>
          </w:p>
        </w:tc>
        <w:tc>
          <w:tcPr>
            <w:tcW w:type="dxa" w:w="66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Fonctionnel avec données réelles (demandes actives, montant total, liste des demandes récentes).</w:t>
            </w:r>
          </w:p>
        </w:tc>
      </w:tr>
      <w:tr>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Mes demandes</w:t>
            </w:r>
          </w:p>
        </w:tc>
        <w:tc>
          <w:tcPr>
            <w:tcW w:type="dxa" w:w="66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Fonctionnel, données réelles, barre de progression du financement.</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Offres reçues</w:t>
            </w:r>
          </w:p>
        </w:tc>
        <w:tc>
          <w:tcPr>
            <w:tcW w:type="dxa" w:w="66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Fonctionnel, données réelles (engagements reçus par organisation).</w:t>
            </w:r>
          </w:p>
        </w:tc>
      </w:tr>
      <w:tr>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Notifications</w:t>
            </w:r>
          </w:p>
        </w:tc>
        <w:tc>
          <w:tcPr>
            <w:tcW w:type="dxa" w:w="66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Fonctionnel, temps réel, marquage lu / non lu.</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Documents</w:t>
            </w:r>
          </w:p>
        </w:tc>
        <w:tc>
          <w:tcPr>
            <w:tcW w:type="dxa" w:w="66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Fonctionnel pour la checklist KYC et l'upload libre. Le module de contrats / signature électronique est hors périmètre de cette version.</w:t>
            </w:r>
          </w:p>
        </w:tc>
      </w:tr>
      <w:tr>
        <w:tc>
          <w:tcPr>
            <w:tcW w:type="dxa" w:w="30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Data Room / Matching</w:t>
            </w:r>
          </w:p>
        </w:tc>
        <w:tc>
          <w:tcPr>
            <w:tcW w:type="dxa" w:w="66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Écrans d'attente (« Bientôt disponible ») — modules backend non encore développés.</w:t>
            </w:r>
          </w:p>
        </w:tc>
      </w:tr>
    </w:tbl>
    <w:p>
      <w:pPr>
        <w:spacing w:after="200"/>
      </w:pPr>
    </w:p>
    <w:p>
      <w:pPr>
        <w:pStyle w:val="Heading2"/>
      </w:pPr>
      <w:r>
        <w:t xml:space="preserve">6.3 Protection des routes</w:t>
      </w:r>
    </w:p>
    <w:p>
      <w:pPr>
        <w:spacing w:after="160"/>
      </w:pPr>
      <w:r>
        <w:rPr>
          <w:b w:val="false"/>
          <w:bCs w:val="false"/>
          <w:i w:val="false"/>
          <w:iCs w:val="false"/>
          <w:sz w:val="22"/>
          <w:szCs w:val="22"/>
        </w:rPr>
        <w:t xml:space="preserve">L'accès aux pages du tableau de bord est protégé côté client : toute tentative d'accès direct sans session active redirige automatiquement vers l'écran de connexion.</w:t>
      </w:r>
    </w:p>
    <w:p>
      <w:r>
        <w:br w:type="page"/>
      </w:r>
    </w:p>
    <w:p>
      <w:pPr>
        <w:pStyle w:val="Heading1"/>
      </w:pPr>
      <w:r>
        <w:t xml:space="preserve">7. Sécurité et conformité</w:t>
      </w:r>
    </w:p>
    <w:p>
      <w:pPr>
        <w:pStyle w:val="Heading2"/>
      </w:pPr>
      <w:r>
        <w:t xml:space="preserve">7.1 Mesures déjà en place</w:t>
      </w:r>
    </w:p>
    <w:p>
      <w:pPr>
        <w:pStyle w:val="ListParagraph"/>
        <w:numPr>
          <w:ilvl w:val="0"/>
          <w:numId w:val="2"/>
        </w:numPr>
        <w:spacing w:after="80"/>
      </w:pPr>
      <w:r>
        <w:rPr>
          <w:b/>
          <w:bCs/>
          <w:sz w:val="22"/>
          <w:szCs w:val="22"/>
        </w:rPr>
        <w:t xml:space="preserve">Authentification — </w:t>
      </w:r>
      <w:r>
        <w:rPr>
          <w:sz w:val="22"/>
          <w:szCs w:val="22"/>
        </w:rPr>
        <w:t xml:space="preserve">JWT signé, mots de passe hachés (bcrypt), jamais stockés ni journalisés en clair.</w:t>
      </w:r>
    </w:p>
    <w:p>
      <w:pPr>
        <w:pStyle w:val="ListParagraph"/>
        <w:numPr>
          <w:ilvl w:val="0"/>
          <w:numId w:val="2"/>
        </w:numPr>
        <w:spacing w:after="80"/>
      </w:pPr>
      <w:r>
        <w:rPr>
          <w:b/>
          <w:bCs/>
          <w:sz w:val="22"/>
          <w:szCs w:val="22"/>
        </w:rPr>
        <w:t xml:space="preserve">Autorisation — </w:t>
      </w:r>
      <w:r>
        <w:rPr>
          <w:sz w:val="22"/>
          <w:szCs w:val="22"/>
        </w:rPr>
        <w:t xml:space="preserve">contrôle d'accès au niveau ressource (un utilisateur ne peut consulter ou modifier que les ressources auxquelles il appartient), en complément du contrôle par rôle.</w:t>
      </w:r>
    </w:p>
    <w:p>
      <w:pPr>
        <w:pStyle w:val="ListParagraph"/>
        <w:numPr>
          <w:ilvl w:val="0"/>
          <w:numId w:val="2"/>
        </w:numPr>
        <w:spacing w:after="80"/>
      </w:pPr>
      <w:r>
        <w:rPr>
          <w:b/>
          <w:bCs/>
          <w:sz w:val="22"/>
          <w:szCs w:val="22"/>
        </w:rPr>
        <w:t xml:space="preserve">Messages d'erreur neutres — </w:t>
      </w:r>
      <w:r>
        <w:rPr>
          <w:sz w:val="22"/>
          <w:szCs w:val="22"/>
        </w:rPr>
        <w:t xml:space="preserve">un échec de connexion ne précise jamais si c'est l'email ou le mot de passe qui est erroné, afin d'empêcher l'énumération de comptes existants.</w:t>
      </w:r>
    </w:p>
    <w:p>
      <w:pPr>
        <w:pStyle w:val="ListParagraph"/>
        <w:numPr>
          <w:ilvl w:val="0"/>
          <w:numId w:val="2"/>
        </w:numPr>
        <w:spacing w:after="80"/>
      </w:pPr>
      <w:r>
        <w:rPr>
          <w:b/>
          <w:bCs/>
          <w:sz w:val="22"/>
          <w:szCs w:val="22"/>
        </w:rPr>
        <w:t xml:space="preserve">Documents sensibles — </w:t>
      </w:r>
      <w:r>
        <w:rPr>
          <w:sz w:val="22"/>
          <w:szCs w:val="22"/>
        </w:rPr>
        <w:t xml:space="preserve">URLs de téléchargement signées et temporaires, jamais d'accès public direct aux fichiers KYC ou justificatifs financiers.</w:t>
      </w:r>
    </w:p>
    <w:p>
      <w:pPr>
        <w:pStyle w:val="ListParagraph"/>
        <w:numPr>
          <w:ilvl w:val="0"/>
          <w:numId w:val="2"/>
        </w:numPr>
        <w:spacing w:after="80"/>
      </w:pPr>
      <w:r>
        <w:rPr>
          <w:b/>
          <w:bCs/>
          <w:sz w:val="22"/>
          <w:szCs w:val="22"/>
        </w:rPr>
        <w:t xml:space="preserve">Validation des entrées — </w:t>
      </w:r>
      <w:r>
        <w:rPr>
          <w:sz w:val="22"/>
          <w:szCs w:val="22"/>
        </w:rPr>
        <w:t xml:space="preserve">validation systématique des DTO côté backend (class-validator), aucune donnée non validée n'atteint la couche métier.</w:t>
      </w:r>
    </w:p>
    <w:p>
      <w:pPr>
        <w:pStyle w:val="ListParagraph"/>
        <w:numPr>
          <w:ilvl w:val="0"/>
          <w:numId w:val="2"/>
        </w:numPr>
        <w:spacing w:after="80"/>
      </w:pPr>
      <w:r>
        <w:rPr>
          <w:b/>
          <w:bCs/>
          <w:sz w:val="22"/>
          <w:szCs w:val="22"/>
        </w:rPr>
        <w:t xml:space="preserve">Connexions WebSocket authentifiées — </w:t>
      </w:r>
      <w:r>
        <w:rPr>
          <w:sz w:val="22"/>
          <w:szCs w:val="22"/>
        </w:rPr>
        <w:t xml:space="preserve">vérification du jeton JWT à l'établissement de la connexion temps réel.</w:t>
      </w:r>
    </w:p>
    <w:p>
      <w:pPr>
        <w:spacing w:after="200"/>
      </w:pPr>
    </w:p>
    <w:p>
      <w:pPr>
        <w:pStyle w:val="Heading2"/>
      </w:pPr>
      <w:r>
        <w:t xml:space="preserve">7.2 Points de vigilance réglementaire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4"/>
              <w:left w:val="single" w:color="1E3A8A" w:sz="24"/>
              <w:bottom w:val="single" w:color="1E3A8A" w:sz="4"/>
              <w:right w:val="single" w:color="1E3A8A" w:sz="4"/>
            </w:tcBorders>
            <w:shd w:fill="EEF2FF" w:val="clear"/>
            <w:tcMar>
              <w:top w:type="dxa" w:w="160"/>
              <w:left w:type="dxa" w:w="220"/>
              <w:bottom w:type="dxa" w:w="160"/>
              <w:right w:type="dxa" w:w="220"/>
            </w:tcMar>
          </w:tcPr>
          <w:p>
            <w:pPr>
              <w:spacing w:after="60"/>
            </w:pPr>
            <w:r>
              <w:rPr>
                <w:b/>
                <w:bCs/>
                <w:color w:val="1E3A8A"/>
                <w:sz w:val="20"/>
                <w:szCs w:val="20"/>
              </w:rPr>
              <w:t xml:space="preserve">Avertissement</w:t>
            </w:r>
          </w:p>
          <w:p>
            <w:r>
              <w:rPr>
                <w:sz w:val="20"/>
                <w:szCs w:val="20"/>
              </w:rPr>
              <w:t xml:space="preserve">Le présent document ne constitue pas un avis juridique. Bien que la plateforme ne fasse transiter aucun fonds, l'activité de mise en relation entre PME et investisseurs à des fins de financement peut relever, selon la juridiction, d'un statut réglementé (intermédiaire en financement participatif, conseiller en investissement, etc.). Une validation par un conseil juridique spécialisé en droit financier, en particulier au regard du cadre OHADA / UEMOA, est requise avant tout déploiement commercial.</w:t>
            </w:r>
          </w:p>
        </w:tc>
      </w:tr>
    </w:tbl>
    <w:p>
      <w:pPr>
        <w:spacing w:after="200"/>
      </w:pPr>
    </w:p>
    <w:p>
      <w:pPr>
        <w:pStyle w:val="Heading2"/>
      </w:pPr>
      <w:r>
        <w:t xml:space="preserve">7.3 Recommandations pour la suite</w:t>
      </w:r>
    </w:p>
    <w:p>
      <w:pPr>
        <w:pStyle w:val="ListParagraph"/>
        <w:numPr>
          <w:ilvl w:val="0"/>
          <w:numId w:val="2"/>
        </w:numPr>
        <w:spacing w:after="80"/>
      </w:pPr>
      <w:r>
        <w:rPr>
          <w:sz w:val="22"/>
          <w:szCs w:val="22"/>
        </w:rPr>
        <w:t xml:space="preserve">Mise en place de l'authentification à deux facteurs (le champ technique existe déjà dans le modèle utilisateur).</w:t>
      </w:r>
    </w:p>
    <w:p>
      <w:pPr>
        <w:pStyle w:val="ListParagraph"/>
        <w:numPr>
          <w:ilvl w:val="0"/>
          <w:numId w:val="2"/>
        </w:numPr>
        <w:spacing w:after="80"/>
      </w:pPr>
      <w:r>
        <w:rPr>
          <w:sz w:val="22"/>
          <w:szCs w:val="22"/>
        </w:rPr>
        <w:t xml:space="preserve">Audit de sécurité externe avant la mise en production.</w:t>
      </w:r>
    </w:p>
    <w:p>
      <w:pPr>
        <w:pStyle w:val="ListParagraph"/>
        <w:numPr>
          <w:ilvl w:val="0"/>
          <w:numId w:val="2"/>
        </w:numPr>
        <w:spacing w:after="80"/>
      </w:pPr>
      <w:r>
        <w:rPr>
          <w:sz w:val="22"/>
          <w:szCs w:val="22"/>
        </w:rPr>
        <w:t xml:space="preserve">Politique de rotation des secrets (clé JWT, identifiants MinIO) avant le passage en environnement de production.</w:t>
      </w:r>
    </w:p>
    <w:p>
      <w:pPr>
        <w:pStyle w:val="ListParagraph"/>
        <w:numPr>
          <w:ilvl w:val="0"/>
          <w:numId w:val="2"/>
        </w:numPr>
        <w:spacing w:after="80"/>
      </w:pPr>
      <w:r>
        <w:rPr>
          <w:sz w:val="22"/>
          <w:szCs w:val="22"/>
        </w:rPr>
        <w:t xml:space="preserve">Chiffrement au repos des documents les plus sensibles (pièces d'identité).</w:t>
      </w:r>
    </w:p>
    <w:p>
      <w:r>
        <w:br w:type="page"/>
      </w:r>
    </w:p>
    <w:p>
      <w:pPr>
        <w:pStyle w:val="Heading1"/>
      </w:pPr>
      <w:r>
        <w:t xml:space="preserve">8. Infrastructure et environnements</w:t>
      </w:r>
    </w:p>
    <w:p>
      <w:pPr>
        <w:pStyle w:val="Heading2"/>
      </w:pPr>
      <w:r>
        <w:t xml:space="preserve">8.1 Environnement de développement</w:t>
      </w:r>
    </w:p>
    <w:p>
      <w:pPr>
        <w:spacing w:after="160"/>
      </w:pPr>
      <w:r>
        <w:rPr>
          <w:b w:val="false"/>
          <w:bCs w:val="false"/>
          <w:i w:val="false"/>
          <w:iCs w:val="false"/>
          <w:sz w:val="22"/>
          <w:szCs w:val="22"/>
        </w:rPr>
        <w:t xml:space="preserve">L'environnement local repose sur Docker Compose, orchestrant trois services : PostgreSQL, Redis et MinIO. L'ensemble des ports a été déplacé vers une plage dédiée (42xx / 43xx / 45xx) afin de coexister avec d'autres projets Docker actifs sur la machine de développement.</w:t>
      </w:r>
    </w:p>
    <w:p>
      <w:pPr>
        <w:pStyle w:val="Heading2"/>
      </w:pPr>
      <w:r>
        <w:t xml:space="preserve">8.2 Gestion des secrets</w:t>
      </w:r>
    </w:p>
    <w:p>
      <w:pPr>
        <w:spacing w:after="160"/>
      </w:pPr>
      <w:r>
        <w:rPr>
          <w:b w:val="false"/>
          <w:bCs w:val="false"/>
          <w:i w:val="false"/>
          <w:iCs w:val="false"/>
          <w:sz w:val="22"/>
          <w:szCs w:val="22"/>
        </w:rPr>
        <w:t xml:space="preserve">Les informations sensibles (mots de passe de base de données, clé secrète JWT, identifiants MinIO) sont exclusivement gérées via des variables d'environnement, jamais committées dans le dépôt Git. Un fichier .env.example, dépourvu de valeurs réelles, documente la structure attendue pour les futurs contributeurs.</w:t>
      </w:r>
    </w:p>
    <w:p>
      <w:pPr>
        <w:pStyle w:val="Heading2"/>
      </w:pPr>
      <w:r>
        <w:t xml:space="preserve">8.3 Convention de nommage Git</w:t>
      </w:r>
    </w:p>
    <w:p>
      <w:pPr>
        <w:spacing w:after="160"/>
      </w:pPr>
      <w:r>
        <w:rPr>
          <w:b w:val="false"/>
          <w:bCs w:val="false"/>
          <w:i w:val="false"/>
          <w:iCs w:val="false"/>
          <w:sz w:val="22"/>
          <w:szCs w:val="22"/>
        </w:rPr>
        <w:t xml:space="preserve">L'ensemble des messages de commit du projet est rédigé en français, conformément à la préférence exprimée par l'équipe du Dothan Group.</w:t>
      </w:r>
    </w:p>
    <w:p>
      <w:pPr>
        <w:pStyle w:val="Heading2"/>
      </w:pPr>
      <w:r>
        <w:t xml:space="preserve">8.4 Environnements cibles (recommandation)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Environnement</w:t>
            </w:r>
          </w:p>
        </w:tc>
        <w:tc>
          <w:tcPr>
            <w:tcW w:type="dxa" w:w="72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Usage recommandé</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Développement</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Machine locale des développeurs, Docker Compose.</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Staging</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Environnement de pré-production, données de test, validation avant mise en ligne.</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Production</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Base de données et stockage managés (et non auto-hébergés), secrets gérés via un coffre-fort dédié.</w:t>
            </w:r>
          </w:p>
        </w:tc>
      </w:tr>
    </w:tbl>
    <w:p>
      <w:r>
        <w:br w:type="page"/>
      </w:r>
    </w:p>
    <w:p>
      <w:pPr>
        <w:pStyle w:val="Heading1"/>
      </w:pPr>
      <w:r>
        <w:t xml:space="preserve">9. État d'avancement et prochaines étapes</w:t>
      </w:r>
    </w:p>
    <w:p>
      <w:pPr>
        <w:pStyle w:val="Heading2"/>
      </w:pPr>
      <w:r>
        <w:t xml:space="preserve">9.1 Réalisé</w:t>
      </w:r>
    </w:p>
    <w:p>
      <w:pPr>
        <w:pStyle w:val="ListParagraph"/>
        <w:numPr>
          <w:ilvl w:val="0"/>
          <w:numId w:val="2"/>
        </w:numPr>
        <w:spacing w:after="80"/>
      </w:pPr>
      <w:r>
        <w:rPr>
          <w:sz w:val="22"/>
          <w:szCs w:val="22"/>
        </w:rPr>
        <w:t xml:space="preserve">Initialisation du monorepo (npm workspaces, Turborepo) et de l'environnement Docker.</w:t>
      </w:r>
    </w:p>
    <w:p>
      <w:pPr>
        <w:pStyle w:val="ListParagraph"/>
        <w:numPr>
          <w:ilvl w:val="0"/>
          <w:numId w:val="2"/>
        </w:numPr>
        <w:spacing w:after="80"/>
      </w:pPr>
      <w:r>
        <w:rPr>
          <w:sz w:val="22"/>
          <w:szCs w:val="22"/>
        </w:rPr>
        <w:t xml:space="preserve">Modélisation complète du schéma de données (10 modèles).</w:t>
      </w:r>
    </w:p>
    <w:p>
      <w:pPr>
        <w:pStyle w:val="ListParagraph"/>
        <w:numPr>
          <w:ilvl w:val="0"/>
          <w:numId w:val="2"/>
        </w:numPr>
        <w:spacing w:after="80"/>
      </w:pPr>
      <w:r>
        <w:rPr>
          <w:sz w:val="22"/>
          <w:szCs w:val="22"/>
        </w:rPr>
        <w:t xml:space="preserve">Module Auth : inscription (PME, investisseur, institution), connexion, garde JWT, garde de rôles.</w:t>
      </w:r>
    </w:p>
    <w:p>
      <w:pPr>
        <w:pStyle w:val="ListParagraph"/>
        <w:numPr>
          <w:ilvl w:val="0"/>
          <w:numId w:val="2"/>
        </w:numPr>
        <w:spacing w:after="80"/>
      </w:pPr>
      <w:r>
        <w:rPr>
          <w:sz w:val="22"/>
          <w:szCs w:val="22"/>
        </w:rPr>
        <w:t xml:space="preserve">Module Organizations : création transactionnelle, contrôle d'accès par appartenance.</w:t>
      </w:r>
    </w:p>
    <w:p>
      <w:pPr>
        <w:pStyle w:val="ListParagraph"/>
        <w:numPr>
          <w:ilvl w:val="0"/>
          <w:numId w:val="2"/>
        </w:numPr>
        <w:spacing w:after="80"/>
      </w:pPr>
      <w:r>
        <w:rPr>
          <w:sz w:val="22"/>
          <w:szCs w:val="22"/>
        </w:rPr>
        <w:t xml:space="preserve">Module Funding : cycle de vie complet des demandes de financement, validation par le back-office.</w:t>
      </w:r>
    </w:p>
    <w:p>
      <w:pPr>
        <w:pStyle w:val="ListParagraph"/>
        <w:numPr>
          <w:ilvl w:val="0"/>
          <w:numId w:val="2"/>
        </w:numPr>
        <w:spacing w:after="80"/>
      </w:pPr>
      <w:r>
        <w:rPr>
          <w:sz w:val="22"/>
          <w:szCs w:val="22"/>
        </w:rPr>
        <w:t xml:space="preserve">Module Investments : financement groupé avec plafonnement anti-concurrence, confirmation de règlement.</w:t>
      </w:r>
    </w:p>
    <w:p>
      <w:pPr>
        <w:pStyle w:val="ListParagraph"/>
        <w:numPr>
          <w:ilvl w:val="0"/>
          <w:numId w:val="2"/>
        </w:numPr>
        <w:spacing w:after="80"/>
      </w:pPr>
      <w:r>
        <w:rPr>
          <w:sz w:val="22"/>
          <w:szCs w:val="22"/>
        </w:rPr>
        <w:t xml:space="preserve">Module Notifications : diffusion temps réel par WebSocket, historique persistant.</w:t>
      </w:r>
    </w:p>
    <w:p>
      <w:pPr>
        <w:pStyle w:val="ListParagraph"/>
        <w:numPr>
          <w:ilvl w:val="0"/>
          <w:numId w:val="2"/>
        </w:numPr>
        <w:spacing w:after="80"/>
      </w:pPr>
      <w:r>
        <w:rPr>
          <w:sz w:val="22"/>
          <w:szCs w:val="22"/>
        </w:rPr>
        <w:t xml:space="preserve">Module Documents : stockage MinIO, URLs signées, checklist KYC dynamique.</w:t>
      </w:r>
    </w:p>
    <w:p>
      <w:pPr>
        <w:pStyle w:val="ListParagraph"/>
        <w:numPr>
          <w:ilvl w:val="0"/>
          <w:numId w:val="2"/>
        </w:numPr>
        <w:spacing w:after="80"/>
      </w:pPr>
      <w:r>
        <w:rPr>
          <w:sz w:val="22"/>
          <w:szCs w:val="22"/>
        </w:rPr>
        <w:t xml:space="preserve">Frontend : parcours d'authentification, tableau de bord PME (vue d'ensemble, demandes, offres, documents, notifications).</w:t>
      </w:r>
    </w:p>
    <w:p>
      <w:pPr>
        <w:spacing w:after="200"/>
      </w:pPr>
    </w:p>
    <w:p>
      <w:pPr>
        <w:pStyle w:val="Heading2"/>
      </w:pPr>
      <w:r>
        <w:t xml:space="preserve">9.2 Restant à réaliser</w:t>
      </w:r>
    </w:p>
    <w:p>
      <w:pPr>
        <w:pStyle w:val="ListParagraph"/>
        <w:numPr>
          <w:ilvl w:val="0"/>
          <w:numId w:val="2"/>
        </w:numPr>
        <w:spacing w:after="80"/>
      </w:pPr>
      <w:r>
        <w:rPr>
          <w:sz w:val="22"/>
          <w:szCs w:val="22"/>
        </w:rPr>
        <w:t xml:space="preserve">Module Scoring : calcul automatique du Score LeFinancier et validation humaine (actuellement représenté par des données d'exemple côté interface).</w:t>
      </w:r>
    </w:p>
    <w:p>
      <w:pPr>
        <w:pStyle w:val="ListParagraph"/>
        <w:numPr>
          <w:ilvl w:val="0"/>
          <w:numId w:val="2"/>
        </w:numPr>
        <w:spacing w:after="80"/>
      </w:pPr>
      <w:r>
        <w:rPr>
          <w:sz w:val="22"/>
          <w:szCs w:val="22"/>
        </w:rPr>
        <w:t xml:space="preserve">Module Disputes : gestion des litiges entre PME et investisseurs.</w:t>
      </w:r>
    </w:p>
    <w:p>
      <w:pPr>
        <w:pStyle w:val="ListParagraph"/>
        <w:numPr>
          <w:ilvl w:val="0"/>
          <w:numId w:val="2"/>
        </w:numPr>
        <w:spacing w:after="80"/>
      </w:pPr>
      <w:r>
        <w:rPr>
          <w:sz w:val="22"/>
          <w:szCs w:val="22"/>
        </w:rPr>
        <w:t xml:space="preserve">Tableau de bord investisseur (parcours symétrique au tableau de bord PME).</w:t>
      </w:r>
    </w:p>
    <w:p>
      <w:pPr>
        <w:pStyle w:val="ListParagraph"/>
        <w:numPr>
          <w:ilvl w:val="0"/>
          <w:numId w:val="2"/>
        </w:numPr>
        <w:spacing w:after="80"/>
      </w:pPr>
      <w:r>
        <w:rPr>
          <w:sz w:val="22"/>
          <w:szCs w:val="22"/>
        </w:rPr>
        <w:t xml:space="preserve">Interface back-office dédiée (au-delà des routes API déjà fonctionnelles).</w:t>
      </w:r>
    </w:p>
    <w:p>
      <w:pPr>
        <w:pStyle w:val="ListParagraph"/>
        <w:numPr>
          <w:ilvl w:val="0"/>
          <w:numId w:val="2"/>
        </w:numPr>
        <w:spacing w:after="80"/>
      </w:pPr>
      <w:r>
        <w:rPr>
          <w:sz w:val="22"/>
          <w:szCs w:val="22"/>
        </w:rPr>
        <w:t xml:space="preserve">Module de contrats et signature électronique (section « Documents contractuels » des maquettes).</w:t>
      </w:r>
    </w:p>
    <w:p>
      <w:pPr>
        <w:pStyle w:val="ListParagraph"/>
        <w:numPr>
          <w:ilvl w:val="0"/>
          <w:numId w:val="2"/>
        </w:numPr>
        <w:spacing w:after="80"/>
      </w:pPr>
      <w:r>
        <w:rPr>
          <w:sz w:val="22"/>
          <w:szCs w:val="22"/>
        </w:rPr>
        <w:t xml:space="preserve">Mise en place de tests automatisés (unitaires sur la logique métier, intégration sur les parcours critiques).</w:t>
      </w:r>
    </w:p>
    <w:p>
      <w:pPr>
        <w:pStyle w:val="ListParagraph"/>
        <w:numPr>
          <w:ilvl w:val="0"/>
          <w:numId w:val="2"/>
        </w:numPr>
        <w:spacing w:after="80"/>
      </w:pPr>
      <w:r>
        <w:rPr>
          <w:sz w:val="22"/>
          <w:szCs w:val="22"/>
        </w:rPr>
        <w:t xml:space="preserve">Mise en place d'un pipeline d'intégration et de déploiement continu (CI/CD).</w:t>
      </w:r>
    </w:p>
    <w:p>
      <w:pPr>
        <w:pStyle w:val="ListParagraph"/>
        <w:numPr>
          <w:ilvl w:val="0"/>
          <w:numId w:val="2"/>
        </w:numPr>
        <w:spacing w:after="80"/>
      </w:pPr>
      <w:r>
        <w:rPr>
          <w:sz w:val="22"/>
          <w:szCs w:val="22"/>
        </w:rPr>
        <w:t xml:space="preserve">Validation juridique du modèle réglementaire avant ouverture commerciale.</w:t>
      </w:r>
    </w:p>
    <w:p>
      <w:r>
        <w:br w:type="page"/>
      </w:r>
    </w:p>
    <w:p>
      <w:pPr>
        <w:pStyle w:val="Heading1"/>
      </w:pPr>
      <w:r>
        <w:t xml:space="preserve">10. Glossaire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Terme</w:t>
            </w:r>
          </w:p>
        </w:tc>
        <w:tc>
          <w:tcPr>
            <w:tcW w:type="dxa" w:w="7248"/>
            <w:tcBorders>
              <w:top w:val="single" w:color="D9D9D9" w:sz="4"/>
              <w:left w:val="single" w:color="D9D9D9" w:sz="4"/>
              <w:bottom w:val="single" w:color="D9D9D9" w:sz="4"/>
              <w:right w:val="single" w:color="D9D9D9" w:sz="4"/>
            </w:tcBorders>
            <w:shd w:fill="1E3A8A" w:val="clear"/>
            <w:tcMar>
              <w:top w:type="dxa" w:w="100"/>
              <w:left w:type="dxa" w:w="120"/>
              <w:bottom w:type="dxa" w:w="100"/>
              <w:right w:type="dxa" w:w="120"/>
            </w:tcMar>
            <w:vAlign w:val="center"/>
          </w:tcPr>
          <w:p>
            <w:r>
              <w:rPr>
                <w:b/>
                <w:bCs/>
                <w:color w:val="FFFFFF"/>
                <w:sz w:val="20"/>
                <w:szCs w:val="20"/>
              </w:rPr>
              <w:t xml:space="preserve">Définition</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KYC</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 Know Your Customer » — ensemble des vérifications d'identité et de conformité requises avant qu'une PME ou un investisseur puisse pleinement utiliser la plateforme.</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RBAC</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 Role-Based Access Control » — modèle de contrôle d'accès basé sur les rôles attribués à chaque utilisateur.</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JWT</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 JSON Web Token » — jeton signé utilisé pour authentifier les requêtes après connexion.</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ORM</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 Object-Relational Mapping » — outil traduisant les requêtes de base de données en code orienté objet (ici, Prisma).</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Financement groupé</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Mécanisme permettant à plusieurs investisseurs de financer collectivement une même demande, à hauteur du montant recherché.</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Règlement hors plateforme</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Paiement effectué directement entre la PME et l'investisseur, en dehors de tout circuit géré par Le Financier.</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Object storage</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Système de stockage de fichiers compatible avec l'API standard S3 (ici, MinIO en développement).</w:t>
            </w:r>
          </w:p>
        </w:tc>
      </w:tr>
      <w:tr>
        <w:tc>
          <w:tcPr>
            <w:tcW w:type="dxa" w:w="2400"/>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URL signée</w:t>
            </w:r>
          </w:p>
        </w:tc>
        <w:tc>
          <w:tcPr>
            <w:tcW w:type="dxa" w:w="7248"/>
            <w:tcBorders>
              <w:top w:val="single" w:color="D9D9D9" w:sz="4"/>
              <w:left w:val="single" w:color="D9D9D9" w:sz="4"/>
              <w:bottom w:val="single" w:color="D9D9D9" w:sz="4"/>
              <w:right w:val="single" w:color="D9D9D9" w:sz="4"/>
            </w:tcBorders>
            <w:shd w:fill="F7F8FA" w:val="clear"/>
            <w:tcMar>
              <w:top w:type="dxa" w:w="100"/>
              <w:left w:type="dxa" w:w="120"/>
              <w:bottom w:type="dxa" w:w="100"/>
              <w:right w:type="dxa" w:w="120"/>
            </w:tcMar>
            <w:vAlign w:val="center"/>
          </w:tcPr>
          <w:p>
            <w:r>
              <w:rPr>
                <w:b w:val="false"/>
                <w:bCs w:val="false"/>
                <w:i w:val="false"/>
                <w:iCs w:val="false"/>
                <w:sz w:val="20"/>
                <w:szCs w:val="20"/>
              </w:rPr>
              <w:t xml:space="preserve">Lien de téléchargement temporaire et sécurisé, généré pour un accès limité dans le temps.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WebSocket</w:t>
            </w:r>
          </w:p>
        </w:tc>
        <w:tc>
          <w:tcPr>
            <w:tcW w:type="dxa" w:w="7248"/>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i w:val="false"/>
                <w:iCs w:val="false"/>
                <w:sz w:val="20"/>
                <w:szCs w:val="20"/>
              </w:rPr>
              <w:t xml:space="preserve">Protocole de communication permettant l'envoi d'événements en temps réel entre le serveur et le navigateur.</w:t>
            </w:r>
          </w:p>
        </w:tc>
      </w:tr>
    </w:tbl>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fldChar w:fldCharType="begin"/>
      <w:instrText xml:space="preserve">PAGE</w:instrText>
      <w:fldChar w:fldCharType="separate"/>
      <w:fldChar w:fldCharType="end"/>
    </w:r>
    <w:r>
      <w:rPr>
        <w:color w:val="8C8C8C"/>
        <w:sz w:val="18"/>
        <w:szCs w:val="18"/>
      </w:rPr>
      <w:t xml:space="preserve"> / </w:t>
    </w:r>
    <w:r>
      <w:rPr>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LE FINANCIER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4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F6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Le Financier</dc:title>
  <dc:creator>Le Financier</dc:creator>
  <cp:lastModifiedBy>Un-named</cp:lastModifiedBy>
  <cp:revision>1</cp:revision>
  <dcterms:created xsi:type="dcterms:W3CDTF">2026-06-25T05:51:42.280Z</dcterms:created>
  <dcterms:modified xsi:type="dcterms:W3CDTF">2026-06-25T05:51:42.281Z</dcterms:modified>
</cp:coreProperties>
</file>

<file path=docProps/custom.xml><?xml version="1.0" encoding="utf-8"?>
<Properties xmlns="http://schemas.openxmlformats.org/officeDocument/2006/custom-properties" xmlns:vt="http://schemas.openxmlformats.org/officeDocument/2006/docPropsVTypes"/>
</file>