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17BF54A0" w14:textId="77777777" w:rsidR="0075642D" w:rsidRDefault="00000000">
          <w:pPr>
            <w:pStyle w:val="En-ttedetabledesmatires1"/>
          </w:pPr>
          <w:r>
            <w:t>Table des matières</w:t>
          </w:r>
        </w:p>
        <w:p w14:paraId="221E43A9" w14:textId="07103230" w:rsidR="0075642D" w:rsidRDefault="00000000">
          <w:pPr>
            <w:pStyle w:val="TM1"/>
            <w:tabs>
              <w:tab w:val="left" w:pos="440"/>
              <w:tab w:val="right" w:leader="dot" w:pos="9062"/>
            </w:tabs>
            <w:rPr>
              <w:rFonts w:asciiTheme="minorHAnsi" w:eastAsiaTheme="minorEastAsia" w:hAnsiTheme="minorHAnsi"/>
              <w:lang w:eastAsia="fr-FR"/>
            </w:rPr>
          </w:pPr>
          <w:r>
            <w:fldChar w:fldCharType="begin"/>
          </w:r>
          <w:r>
            <w:instrText xml:space="preserve"> TOC \o "1-3" \h \z \u </w:instrText>
          </w:r>
          <w:r>
            <w:fldChar w:fldCharType="separate"/>
          </w:r>
          <w:hyperlink w:anchor="_Toc175589262" w:history="1">
            <w:r>
              <w:rPr>
                <w:rStyle w:val="Lienhypertexte"/>
              </w:rPr>
              <w:t>I.</w:t>
            </w:r>
            <w:r>
              <w:rPr>
                <w:rFonts w:asciiTheme="minorHAnsi" w:eastAsiaTheme="minorEastAsia" w:hAnsiTheme="minorHAnsi"/>
                <w:lang w:eastAsia="fr-FR"/>
              </w:rPr>
              <w:tab/>
            </w:r>
            <w:r>
              <w:rPr>
                <w:rStyle w:val="Lienhypertexte"/>
              </w:rPr>
              <w:t>Introduction</w:t>
            </w:r>
            <w:r>
              <w:tab/>
            </w:r>
            <w:r>
              <w:fldChar w:fldCharType="begin"/>
            </w:r>
            <w:r>
              <w:instrText xml:space="preserve"> PAGEREF _Toc175589262 \h </w:instrText>
            </w:r>
            <w:r>
              <w:fldChar w:fldCharType="separate"/>
            </w:r>
            <w:r w:rsidR="00E51A1B">
              <w:rPr>
                <w:noProof/>
              </w:rPr>
              <w:t>2</w:t>
            </w:r>
            <w:r>
              <w:fldChar w:fldCharType="end"/>
            </w:r>
          </w:hyperlink>
        </w:p>
        <w:p w14:paraId="7E167372" w14:textId="2DC2A9B7" w:rsidR="0075642D" w:rsidRDefault="00000000">
          <w:pPr>
            <w:pStyle w:val="TM1"/>
            <w:tabs>
              <w:tab w:val="left" w:pos="440"/>
              <w:tab w:val="right" w:leader="dot" w:pos="9062"/>
            </w:tabs>
            <w:rPr>
              <w:rFonts w:asciiTheme="minorHAnsi" w:eastAsiaTheme="minorEastAsia" w:hAnsiTheme="minorHAnsi"/>
              <w:lang w:eastAsia="fr-FR"/>
            </w:rPr>
          </w:pPr>
          <w:hyperlink w:anchor="_Toc175589263" w:history="1">
            <w:r>
              <w:rPr>
                <w:rStyle w:val="Lienhypertexte"/>
              </w:rPr>
              <w:t>II.</w:t>
            </w:r>
            <w:r>
              <w:rPr>
                <w:rFonts w:asciiTheme="minorHAnsi" w:eastAsiaTheme="minorEastAsia" w:hAnsiTheme="minorHAnsi"/>
                <w:lang w:eastAsia="fr-FR"/>
              </w:rPr>
              <w:tab/>
            </w:r>
            <w:r>
              <w:rPr>
                <w:rStyle w:val="Lienhypertexte"/>
              </w:rPr>
              <w:t>La définition des données - LDD</w:t>
            </w:r>
            <w:r>
              <w:tab/>
            </w:r>
            <w:r>
              <w:fldChar w:fldCharType="begin"/>
            </w:r>
            <w:r>
              <w:instrText xml:space="preserve"> PAGEREF _Toc175589263 \h </w:instrText>
            </w:r>
            <w:r>
              <w:fldChar w:fldCharType="separate"/>
            </w:r>
            <w:r w:rsidR="00E51A1B">
              <w:rPr>
                <w:noProof/>
              </w:rPr>
              <w:t>4</w:t>
            </w:r>
            <w:r>
              <w:fldChar w:fldCharType="end"/>
            </w:r>
          </w:hyperlink>
        </w:p>
        <w:p w14:paraId="3E57E070" w14:textId="2F02173B" w:rsidR="0075642D" w:rsidRDefault="00000000">
          <w:pPr>
            <w:pStyle w:val="TM1"/>
            <w:tabs>
              <w:tab w:val="left" w:pos="660"/>
              <w:tab w:val="right" w:leader="dot" w:pos="9062"/>
            </w:tabs>
            <w:rPr>
              <w:rFonts w:asciiTheme="minorHAnsi" w:eastAsiaTheme="minorEastAsia" w:hAnsiTheme="minorHAnsi"/>
              <w:lang w:eastAsia="fr-FR"/>
            </w:rPr>
          </w:pPr>
          <w:hyperlink w:anchor="_Toc175589264" w:history="1">
            <w:r>
              <w:rPr>
                <w:rStyle w:val="Lienhypertexte"/>
              </w:rPr>
              <w:t>III.</w:t>
            </w:r>
            <w:r>
              <w:rPr>
                <w:rFonts w:asciiTheme="minorHAnsi" w:eastAsiaTheme="minorEastAsia" w:hAnsiTheme="minorHAnsi"/>
                <w:lang w:eastAsia="fr-FR"/>
              </w:rPr>
              <w:tab/>
            </w:r>
            <w:r>
              <w:rPr>
                <w:rStyle w:val="Lienhypertexte"/>
              </w:rPr>
              <w:t>Les fonctions</w:t>
            </w:r>
            <w:r>
              <w:tab/>
            </w:r>
            <w:r>
              <w:fldChar w:fldCharType="begin"/>
            </w:r>
            <w:r>
              <w:instrText xml:space="preserve"> PAGEREF _Toc175589264 \h </w:instrText>
            </w:r>
            <w:r>
              <w:fldChar w:fldCharType="separate"/>
            </w:r>
            <w:r w:rsidR="00E51A1B">
              <w:rPr>
                <w:noProof/>
              </w:rPr>
              <w:t>12</w:t>
            </w:r>
            <w:r>
              <w:fldChar w:fldCharType="end"/>
            </w:r>
          </w:hyperlink>
        </w:p>
        <w:p w14:paraId="4C4A04A0" w14:textId="42DB7945" w:rsidR="0075642D" w:rsidRDefault="00000000">
          <w:pPr>
            <w:pStyle w:val="TM1"/>
            <w:tabs>
              <w:tab w:val="left" w:pos="660"/>
              <w:tab w:val="right" w:leader="dot" w:pos="9062"/>
            </w:tabs>
            <w:rPr>
              <w:rFonts w:asciiTheme="minorHAnsi" w:eastAsiaTheme="minorEastAsia" w:hAnsiTheme="minorHAnsi"/>
              <w:lang w:eastAsia="fr-FR"/>
            </w:rPr>
          </w:pPr>
          <w:hyperlink w:anchor="_Toc175589265" w:history="1">
            <w:r>
              <w:rPr>
                <w:rStyle w:val="Lienhypertexte"/>
              </w:rPr>
              <w:t>IV.</w:t>
            </w:r>
            <w:r>
              <w:rPr>
                <w:rFonts w:asciiTheme="minorHAnsi" w:eastAsiaTheme="minorEastAsia" w:hAnsiTheme="minorHAnsi"/>
                <w:lang w:eastAsia="fr-FR"/>
              </w:rPr>
              <w:tab/>
            </w:r>
            <w:r>
              <w:rPr>
                <w:rStyle w:val="Lienhypertexte"/>
              </w:rPr>
              <w:t>Le contrôle des transactions</w:t>
            </w:r>
            <w:r>
              <w:tab/>
            </w:r>
            <w:r>
              <w:fldChar w:fldCharType="begin"/>
            </w:r>
            <w:r>
              <w:instrText xml:space="preserve"> PAGEREF _Toc175589265 \h </w:instrText>
            </w:r>
            <w:r>
              <w:fldChar w:fldCharType="separate"/>
            </w:r>
            <w:r w:rsidR="00E51A1B">
              <w:rPr>
                <w:noProof/>
              </w:rPr>
              <w:t>12</w:t>
            </w:r>
            <w:r>
              <w:fldChar w:fldCharType="end"/>
            </w:r>
          </w:hyperlink>
        </w:p>
        <w:p w14:paraId="4EA04318" w14:textId="33573074" w:rsidR="0075642D" w:rsidRDefault="00000000">
          <w:pPr>
            <w:pStyle w:val="TM1"/>
            <w:tabs>
              <w:tab w:val="left" w:pos="440"/>
              <w:tab w:val="right" w:leader="dot" w:pos="9062"/>
            </w:tabs>
            <w:rPr>
              <w:rFonts w:asciiTheme="minorHAnsi" w:eastAsiaTheme="minorEastAsia" w:hAnsiTheme="minorHAnsi"/>
              <w:lang w:eastAsia="fr-FR"/>
            </w:rPr>
          </w:pPr>
          <w:hyperlink w:anchor="_Toc175589266" w:history="1">
            <w:r>
              <w:rPr>
                <w:rStyle w:val="Lienhypertexte"/>
              </w:rPr>
              <w:t>V.</w:t>
            </w:r>
            <w:r>
              <w:rPr>
                <w:rFonts w:asciiTheme="minorHAnsi" w:eastAsiaTheme="minorEastAsia" w:hAnsiTheme="minorHAnsi"/>
                <w:lang w:eastAsia="fr-FR"/>
              </w:rPr>
              <w:tab/>
            </w:r>
            <w:r>
              <w:rPr>
                <w:rStyle w:val="Lienhypertexte"/>
              </w:rPr>
              <w:t>Approfondissement</w:t>
            </w:r>
            <w:r>
              <w:tab/>
            </w:r>
            <w:r>
              <w:fldChar w:fldCharType="begin"/>
            </w:r>
            <w:r>
              <w:instrText xml:space="preserve"> PAGEREF _Toc175589266 \h </w:instrText>
            </w:r>
            <w:r>
              <w:fldChar w:fldCharType="separate"/>
            </w:r>
            <w:r w:rsidR="00E51A1B">
              <w:rPr>
                <w:noProof/>
              </w:rPr>
              <w:t>12</w:t>
            </w:r>
            <w:r>
              <w:fldChar w:fldCharType="end"/>
            </w:r>
          </w:hyperlink>
        </w:p>
        <w:p w14:paraId="753AC8CE" w14:textId="77777777" w:rsidR="0075642D" w:rsidRDefault="00000000">
          <w:r>
            <w:rPr>
              <w:b/>
              <w:bCs/>
            </w:rPr>
            <w:fldChar w:fldCharType="end"/>
          </w:r>
        </w:p>
      </w:sdtContent>
    </w:sdt>
    <w:p w14:paraId="6B3685E9" w14:textId="77777777" w:rsidR="0075642D" w:rsidRDefault="00000000">
      <w:pPr>
        <w:spacing w:before="0" w:after="160" w:line="259" w:lineRule="auto"/>
        <w:jc w:val="left"/>
      </w:pPr>
      <w:r>
        <w:br w:type="page"/>
      </w:r>
    </w:p>
    <w:p w14:paraId="25BC3E3F" w14:textId="77777777" w:rsidR="0075642D" w:rsidRDefault="00000000">
      <w:r>
        <w:lastRenderedPageBreak/>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41ACC171" w14:textId="77777777" w:rsidR="0075642D" w:rsidRDefault="00000000">
      <w:r>
        <w:t xml:space="preserve">Le langage </w:t>
      </w:r>
      <w:r>
        <w:rPr>
          <w:color w:val="FF4A4A"/>
        </w:rPr>
        <w:t>SQL</w:t>
      </w:r>
      <w:r>
        <w:t xml:space="preserve"> pour Structured Query Language – langage de requête structuré se décompose en plusieurs sous-ensembles :</w:t>
      </w:r>
    </w:p>
    <w:p w14:paraId="1B85DBA1" w14:textId="77777777" w:rsidR="0075642D" w:rsidRDefault="00000000">
      <w:pPr>
        <w:pStyle w:val="Paragraphedeliste"/>
        <w:numPr>
          <w:ilvl w:val="0"/>
          <w:numId w:val="1"/>
        </w:numPr>
      </w:pPr>
      <w:r>
        <w:rPr>
          <w:color w:val="ED7D31" w:themeColor="accent2"/>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79475F37" w14:textId="77777777" w:rsidR="0075642D" w:rsidRDefault="00000000">
      <w:pPr>
        <w:pStyle w:val="Paragraphedeliste"/>
        <w:numPr>
          <w:ilvl w:val="0"/>
          <w:numId w:val="1"/>
        </w:numPr>
      </w:pPr>
      <w:r>
        <w:rPr>
          <w:color w:val="ED7D31" w:themeColor="accent2"/>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21CB5DE" w14:textId="77777777" w:rsidR="0075642D" w:rsidRDefault="00000000">
      <w:pPr>
        <w:pStyle w:val="Paragraphedeliste"/>
        <w:numPr>
          <w:ilvl w:val="0"/>
          <w:numId w:val="1"/>
        </w:numPr>
      </w:pPr>
      <w:r>
        <w:rPr>
          <w:color w:val="ED7D31" w:themeColor="accent2"/>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6279ED46" w14:textId="77777777" w:rsidR="0075642D" w:rsidRDefault="00000000">
      <w:pPr>
        <w:pStyle w:val="Paragraphedeliste"/>
        <w:numPr>
          <w:ilvl w:val="0"/>
          <w:numId w:val="1"/>
        </w:numPr>
      </w:pPr>
      <w:r>
        <w:rPr>
          <w:color w:val="ED7D31" w:themeColor="accent2"/>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7A907848" w14:textId="77777777" w:rsidR="0075642D" w:rsidRDefault="00000000">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13636AE7" w14:textId="77777777" w:rsidR="0075642D" w:rsidRDefault="00000000">
      <w:pPr>
        <w:pStyle w:val="Titre1"/>
        <w:numPr>
          <w:ilvl w:val="0"/>
          <w:numId w:val="2"/>
        </w:numPr>
      </w:pPr>
      <w:bookmarkStart w:id="1" w:name="_Toc175589262"/>
      <w:r>
        <w:t>Introduction</w:t>
      </w:r>
      <w:bookmarkEnd w:id="1"/>
    </w:p>
    <w:p w14:paraId="6808E66C" w14:textId="77777777" w:rsidR="0075642D" w:rsidRDefault="00000000">
      <w:r>
        <w:t>Le modèle relationnel repose sur la notion d</w:t>
      </w:r>
      <w:r>
        <w:rPr>
          <w:color w:val="FFFFFF" w:themeColor="background1"/>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w:t>
      </w:r>
      <w:r>
        <w:lastRenderedPageBreak/>
        <w:t>On parle d’opérateurs ensemblistes : union, intersection, différence, produit cartésien, division et jointure.</w:t>
      </w:r>
    </w:p>
    <w:p w14:paraId="387CBA84" w14:textId="77777777" w:rsidR="0075642D" w:rsidRDefault="00000000">
      <w:r>
        <w:t>Le modèle relationnel est caractérisé par trois concepts :</w:t>
      </w:r>
    </w:p>
    <w:p w14:paraId="240C2868" w14:textId="77777777" w:rsidR="0075642D" w:rsidRDefault="00000000">
      <w:pPr>
        <w:pStyle w:val="Paragraphedeliste"/>
        <w:numPr>
          <w:ilvl w:val="0"/>
          <w:numId w:val="1"/>
        </w:numPr>
      </w:pPr>
      <w:r>
        <w:rPr>
          <w:color w:val="FFFFFF" w:themeColor="background1"/>
        </w:rPr>
        <w:t xml:space="preserve">La </w:t>
      </w:r>
      <w:r>
        <w:rPr>
          <w:color w:val="ED7D31" w:themeColor="accent2"/>
        </w:rPr>
        <w:t>Relation</w:t>
      </w:r>
      <w:r>
        <w:t>, fondement du modèle relationnel. La relation permet de mettre en relation des domaines suivant certains critères. Le degré est le nombre d’attribut d’une relation.</w:t>
      </w:r>
    </w:p>
    <w:p w14:paraId="0176D814" w14:textId="77777777" w:rsidR="0075642D" w:rsidRDefault="00000000">
      <w:pPr>
        <w:pStyle w:val="Paragraphedeliste"/>
        <w:numPr>
          <w:ilvl w:val="0"/>
          <w:numId w:val="1"/>
        </w:numPr>
      </w:pPr>
      <w:r>
        <w:rPr>
          <w:color w:val="FFFFFF" w:themeColor="background1"/>
        </w:rPr>
        <w:t xml:space="preserve">La </w:t>
      </w:r>
      <w:r>
        <w:rPr>
          <w:color w:val="ED7D31" w:themeColor="accent2"/>
        </w:rPr>
        <w:t>Domaine</w:t>
      </w:r>
      <w:r>
        <w:t>, ensemble de valeurs caractérisées par un nom.</w:t>
      </w:r>
    </w:p>
    <w:p w14:paraId="474C36E1" w14:textId="77777777" w:rsidR="0075642D" w:rsidRDefault="00000000">
      <w:pPr>
        <w:pStyle w:val="Paragraphedeliste"/>
        <w:numPr>
          <w:ilvl w:val="0"/>
          <w:numId w:val="1"/>
        </w:numPr>
      </w:pPr>
      <w:r>
        <w:rPr>
          <w:color w:val="FFFFFF" w:themeColor="background1"/>
        </w:rPr>
        <w:t>Le</w:t>
      </w:r>
      <w:r>
        <w:rPr>
          <w:color w:val="ED7D31" w:themeColor="accent2"/>
        </w:rPr>
        <w:t xml:space="preserve"> Produit cartésien</w:t>
      </w:r>
      <w:r>
        <w:t>, représentant la jonction entre deux domaines.</w:t>
      </w:r>
    </w:p>
    <w:p w14:paraId="51E237BF" w14:textId="77777777" w:rsidR="0075642D" w:rsidRDefault="00000000">
      <w:r>
        <w:t xml:space="preserve">L'algèbre relationnelle est la base théorique des opérations que l'on peut réaliser sur les bases de données relationnelles, et SQL (Structured Query Language) en est la concrétisation pratique. Le </w:t>
      </w:r>
      <w:r>
        <w:rPr>
          <w:color w:val="ED7D31" w:themeColor="accent2"/>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6E816FCD" w14:textId="77777777" w:rsidR="0075642D" w:rsidRDefault="00000000">
      <w:pPr>
        <w:pStyle w:val="Paragraphedeliste"/>
        <w:numPr>
          <w:ilvl w:val="0"/>
          <w:numId w:val="1"/>
        </w:numPr>
      </w:pPr>
      <w:r>
        <w:rPr>
          <w:color w:val="FFFFFF" w:themeColor="background1"/>
        </w:rPr>
        <w:t>L’</w:t>
      </w:r>
      <w:r>
        <w:rPr>
          <w:color w:val="ED7D31" w:themeColor="accent2"/>
        </w:rPr>
        <w:t>Union</w:t>
      </w:r>
      <w:r>
        <w:t xml:space="preserve"> entre deux relations de même structure (degré et domaines). La commande </w:t>
      </w:r>
      <w:r>
        <w:rPr>
          <w:color w:val="60D681"/>
        </w:rPr>
        <w:t>UNION</w:t>
      </w:r>
      <w:r>
        <w:t xml:space="preserve"> renvoie toutes les lignes de table1 et table2, sans les doublons.</w:t>
      </w:r>
    </w:p>
    <w:p w14:paraId="76AB0E5F" w14:textId="77777777" w:rsidR="0075642D" w:rsidRDefault="00000000">
      <w:pPr>
        <w:pStyle w:val="Paragraphedeliste"/>
        <w:numPr>
          <w:ilvl w:val="0"/>
          <w:numId w:val="1"/>
        </w:numPr>
      </w:pPr>
      <w:r>
        <w:rPr>
          <w:color w:val="FFFFFF" w:themeColor="background1"/>
        </w:rPr>
        <w:t>L’</w:t>
      </w:r>
      <w:r>
        <w:rPr>
          <w:color w:val="ED7D31" w:themeColor="accent2"/>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1B5338F1"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62BC34B7" w14:textId="77777777" w:rsidR="0075642D" w:rsidRDefault="00000000">
      <w:pPr>
        <w:pStyle w:val="Paragraphedeliste"/>
        <w:numPr>
          <w:ilvl w:val="0"/>
          <w:numId w:val="1"/>
        </w:numPr>
      </w:pPr>
      <w:r>
        <w:rPr>
          <w:color w:val="FFFFFF" w:themeColor="background1"/>
        </w:rPr>
        <w:t xml:space="preserve">La </w:t>
      </w:r>
      <w:r>
        <w:rPr>
          <w:color w:val="ED7D31" w:themeColor="accent2"/>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693F2F0A" w14:textId="77777777" w:rsidR="0075642D" w:rsidRDefault="00000000">
      <w:pPr>
        <w:pStyle w:val="Paragraphedeliste"/>
        <w:numPr>
          <w:ilvl w:val="0"/>
          <w:numId w:val="1"/>
        </w:numPr>
      </w:pPr>
      <w:r>
        <w:rPr>
          <w:color w:val="FFFFFF" w:themeColor="background1"/>
        </w:rPr>
        <w:t xml:space="preserve">La </w:t>
      </w:r>
      <w:r>
        <w:rPr>
          <w:color w:val="ED7D31" w:themeColor="accent2"/>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37FC7550" w14:textId="77777777" w:rsidR="0075642D" w:rsidRDefault="00000000">
      <w:pPr>
        <w:pStyle w:val="Paragraphedeliste"/>
        <w:numPr>
          <w:ilvl w:val="0"/>
          <w:numId w:val="1"/>
        </w:numPr>
      </w:pPr>
      <w:r>
        <w:rPr>
          <w:color w:val="FFFFFF" w:themeColor="background1"/>
        </w:rPr>
        <w:t xml:space="preserve">La </w:t>
      </w:r>
      <w:r>
        <w:rPr>
          <w:color w:val="ED7D31" w:themeColor="accent2"/>
        </w:rPr>
        <w:t>Projection</w:t>
      </w:r>
      <w:r>
        <w:t xml:space="preserve"> d’une relation sur un groupe d’attributs donne une relation résultante ayant comme schéma uniquement ces attributs, et comme éléments les n-uplets </w:t>
      </w:r>
      <w:r>
        <w:lastRenderedPageBreak/>
        <w:t xml:space="preserve">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6B2D605E"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Produit cartésien </w:t>
      </w:r>
      <w:r>
        <w:rPr>
          <w:color w:val="FFFFFF" w:themeColor="background1"/>
        </w:rPr>
        <w:t xml:space="preserve">combine toutes les lignes de deux relations pour produire toutes les combinaisons possibles. </w:t>
      </w:r>
      <w:r>
        <w:rPr>
          <w:color w:val="60D681"/>
        </w:rPr>
        <w:t xml:space="preserve">SELECT * FROM </w:t>
      </w:r>
      <w:r>
        <w:rPr>
          <w:color w:val="FFFFFF" w:themeColor="background1"/>
        </w:rPr>
        <w:t>table1, table2 crée une combinaison de chaque ligne de table1 avec chaque ligne de table2.</w:t>
      </w:r>
    </w:p>
    <w:p w14:paraId="46D6DBFA" w14:textId="77777777" w:rsidR="0075642D" w:rsidRDefault="00000000">
      <w:pPr>
        <w:pStyle w:val="Paragraphedeliste"/>
        <w:numPr>
          <w:ilvl w:val="0"/>
          <w:numId w:val="1"/>
        </w:numPr>
      </w:pPr>
      <w:r>
        <w:rPr>
          <w:color w:val="FFFFFF" w:themeColor="background1"/>
        </w:rPr>
        <w:t xml:space="preserve">La </w:t>
      </w:r>
      <w:r>
        <w:rPr>
          <w:color w:val="ED7D31" w:themeColor="accent2"/>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BC1D9F7" w14:textId="77777777" w:rsidR="0075642D" w:rsidRDefault="00000000">
      <w:pPr>
        <w:pStyle w:val="Paragraphedeliste"/>
        <w:numPr>
          <w:ilvl w:val="0"/>
          <w:numId w:val="1"/>
        </w:numPr>
      </w:pPr>
      <w:r>
        <w:rPr>
          <w:color w:val="FFFFFF" w:themeColor="background1"/>
        </w:rPr>
        <w:t xml:space="preserve">La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16D3B1E6" w14:textId="77777777" w:rsidR="0075642D" w:rsidRDefault="00000000">
      <w:pPr>
        <w:pStyle w:val="Titre1"/>
        <w:numPr>
          <w:ilvl w:val="0"/>
          <w:numId w:val="2"/>
        </w:numPr>
      </w:pPr>
      <w:bookmarkStart w:id="2" w:name="_Toc175589263"/>
      <w:r>
        <w:t>La définition des données – LDD</w:t>
      </w:r>
      <w:bookmarkEnd w:id="2"/>
    </w:p>
    <w:p w14:paraId="525C7DE0" w14:textId="77777777" w:rsidR="0075642D" w:rsidRDefault="00000000">
      <w:r>
        <w:t>Il existe trois grandes de familles de données : numérique, caractère (ou alphanumérique) et temporelle (dates et heures) :</w:t>
      </w:r>
    </w:p>
    <w:p w14:paraId="4155D27E" w14:textId="77777777" w:rsidR="0075642D" w:rsidRDefault="00000000">
      <w:pPr>
        <w:pStyle w:val="Paragraphedeliste"/>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1478F6A1" w14:textId="77777777" w:rsidR="0075642D" w:rsidRDefault="00000000">
      <w:pPr>
        <w:pStyle w:val="Paragraphedeliste"/>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7F9A4392" w14:textId="77777777" w:rsidR="0075642D" w:rsidRDefault="00000000">
      <w:pPr>
        <w:pStyle w:val="Paragraphedeliste"/>
        <w:numPr>
          <w:ilvl w:val="0"/>
          <w:numId w:val="3"/>
        </w:numPr>
      </w:pPr>
      <w:r>
        <w:lastRenderedPageBreak/>
        <w:t>Dates ou heures : Les types de format temporel sont principalement DATE, TIME et TIMESTAMP (ou DATETIME). La manipulation des dates et des heures est très différente d’un SGBDR.</w:t>
      </w:r>
    </w:p>
    <w:p w14:paraId="5C1F2402" w14:textId="77777777" w:rsidR="0075642D" w:rsidRDefault="00000000">
      <w:pPr>
        <w:pStyle w:val="Titre2"/>
        <w:numPr>
          <w:ilvl w:val="0"/>
          <w:numId w:val="4"/>
        </w:numPr>
      </w:pPr>
      <w:r>
        <w:t>La création de tables</w:t>
      </w:r>
    </w:p>
    <w:p w14:paraId="31B55730" w14:textId="77777777" w:rsidR="0075642D" w:rsidRDefault="00000000">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14DEACF3" w14:textId="77777777" w:rsidR="0075642D" w:rsidRDefault="00000000">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3D9D97F5" w14:textId="77777777" w:rsidR="0075642D" w:rsidRDefault="00000000">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61DB55E3" w14:textId="77777777" w:rsidR="0075642D" w:rsidRDefault="00000000">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367AD509" w14:textId="77777777" w:rsidR="0075642D" w:rsidRDefault="00000000">
      <w:r>
        <w:lastRenderedPageBreak/>
        <w:t>Une autre méthode pour créer une table consiste à dupliquer ou à s’inspirer de tables existantes. Pour récupérer uniquement la structure de la table d’origine, il faut ajouter une clause (condition) qui n’est jamais vérifiée.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68674B68" w14:textId="77777777" w:rsidTr="00636343">
        <w:trPr>
          <w:trHeight w:val="567"/>
          <w:jc w:val="center"/>
        </w:trPr>
        <w:tc>
          <w:tcPr>
            <w:tcW w:w="7370" w:type="dxa"/>
            <w:tcBorders>
              <w:top w:val="double" w:sz="4" w:space="0" w:color="ED7D31" w:themeColor="accent2"/>
              <w:bottom w:val="single" w:sz="12" w:space="0" w:color="ED7D31" w:themeColor="accent2"/>
            </w:tcBorders>
            <w:shd w:val="clear" w:color="auto" w:fill="FF9933"/>
            <w:vAlign w:val="center"/>
          </w:tcPr>
          <w:p w14:paraId="214B7F81" w14:textId="77777777" w:rsidR="0075642D" w:rsidRDefault="00000000">
            <w:pPr>
              <w:spacing w:before="0" w:after="0" w:line="240" w:lineRule="auto"/>
              <w:jc w:val="center"/>
              <w:rPr>
                <w:color w:val="E2EFD9" w:themeColor="accent6" w:themeTint="33"/>
              </w:rPr>
            </w:pPr>
            <w:r>
              <w:rPr>
                <w:color w:val="E2EFD9" w:themeColor="accent6" w:themeTint="33"/>
              </w:rPr>
              <w:t xml:space="preserve">Ligne de commandes </w:t>
            </w:r>
          </w:p>
        </w:tc>
      </w:tr>
      <w:tr w:rsidR="0075642D" w:rsidRPr="00F14E1D" w14:paraId="3246C3A8" w14:textId="77777777">
        <w:trPr>
          <w:jc w:val="center"/>
        </w:trPr>
        <w:tc>
          <w:tcPr>
            <w:tcW w:w="7370" w:type="dxa"/>
            <w:tcBorders>
              <w:top w:val="single" w:sz="12" w:space="0" w:color="ED7D31" w:themeColor="accent2"/>
              <w:bottom w:val="double" w:sz="4" w:space="0" w:color="ED7D31" w:themeColor="accent2"/>
            </w:tcBorders>
            <w:shd w:val="clear" w:color="auto" w:fill="3366CC"/>
          </w:tcPr>
          <w:p w14:paraId="5DC4C2ED"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sidRPr="00636343">
              <w:rPr>
                <w:color w:val="FF6600"/>
                <w:lang w:val="en-GB"/>
                <w14:textFill>
                  <w14:solidFill>
                    <w14:srgbClr w14:val="FF6600">
                      <w14:lumMod w14:val="20000"/>
                      <w14:lumOff w14:val="80000"/>
                    </w14:srgbClr>
                  </w14:solidFill>
                </w14:textFill>
              </w:rPr>
              <w:t>create table</w:t>
            </w:r>
            <w:r>
              <w:rPr>
                <w:color w:val="E2EFD9" w:themeColor="accent6" w:themeTint="33"/>
                <w:lang w:val="en-GB"/>
              </w:rPr>
              <w:t xml:space="preserve"> table2 select * from table1 </w:t>
            </w:r>
          </w:p>
          <w:p w14:paraId="6076D862"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sidRPr="00636343">
              <w:rPr>
                <w:color w:val="FF9933"/>
                <w:lang w:val="en-GB"/>
                <w14:textFill>
                  <w14:solidFill>
                    <w14:srgbClr w14:val="FF9933">
                      <w14:lumMod w14:val="20000"/>
                      <w14:lumOff w14:val="80000"/>
                    </w14:srgbClr>
                  </w14:solidFill>
                </w14:textFill>
              </w:rPr>
              <w:t>create table</w:t>
            </w:r>
            <w:r>
              <w:rPr>
                <w:color w:val="E2EFD9" w:themeColor="accent6" w:themeTint="33"/>
                <w:lang w:val="en-GB"/>
              </w:rPr>
              <w:t xml:space="preserve"> table2 like table1</w:t>
            </w:r>
          </w:p>
          <w:p w14:paraId="4A582315"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ORACLE : create table table2 as select * from table1</w:t>
            </w:r>
          </w:p>
        </w:tc>
      </w:tr>
    </w:tbl>
    <w:p w14:paraId="5FCCD481" w14:textId="77777777" w:rsidR="0075642D" w:rsidRDefault="0075642D">
      <w:pPr>
        <w:rPr>
          <w:lang w:val="en-GB"/>
        </w:rPr>
      </w:pPr>
    </w:p>
    <w:p w14:paraId="500135D9" w14:textId="77777777" w:rsidR="0075642D" w:rsidRDefault="00000000">
      <w:pPr>
        <w:pStyle w:val="Titre2"/>
        <w:numPr>
          <w:ilvl w:val="0"/>
          <w:numId w:val="4"/>
        </w:numPr>
      </w:pPr>
      <w:r>
        <w:t>La suppression de tables</w:t>
      </w:r>
    </w:p>
    <w:p w14:paraId="597BAFA1" w14:textId="77777777" w:rsidR="0075642D" w:rsidRDefault="00000000">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790D9F9B" w14:textId="77777777" w:rsidR="0075642D" w:rsidRDefault="00000000">
      <w:pPr>
        <w:pStyle w:val="Titre2"/>
        <w:numPr>
          <w:ilvl w:val="0"/>
          <w:numId w:val="4"/>
        </w:numPr>
      </w:pPr>
      <w:r>
        <w:t>La modification de tables</w:t>
      </w:r>
    </w:p>
    <w:p w14:paraId="1AB101A2" w14:textId="77777777" w:rsidR="0075642D" w:rsidRDefault="00000000">
      <w:r>
        <w:t>L’ordre ALTER est utilisé pour réaliser plusieurs actions (supprimer ou ajouter une colonne d’une table d’une table, ajouter ou supprimer une contrainte ou ajouter une valeur par défaut à une colonne, et même modifier le type (CAST) d’une colonne).</w:t>
      </w:r>
    </w:p>
    <w:p w14:paraId="1398754D" w14:textId="77777777" w:rsidR="0075642D" w:rsidRDefault="00000000">
      <w:r>
        <w:t>L’ordre RENAME permet de renommer une table. Cette commande peut être utilisée dans le cas où la table doit être recréée tout en conservant la version actuelle en archive.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597"/>
      </w:tblGrid>
      <w:tr w:rsidR="0075642D" w14:paraId="4A9B9618" w14:textId="77777777">
        <w:trPr>
          <w:trHeight w:val="567"/>
          <w:jc w:val="center"/>
        </w:trPr>
        <w:tc>
          <w:tcPr>
            <w:tcW w:w="7597" w:type="dxa"/>
            <w:tcBorders>
              <w:top w:val="double" w:sz="4" w:space="0" w:color="ED7D31" w:themeColor="accent2"/>
              <w:bottom w:val="single" w:sz="12" w:space="0" w:color="ED7D31" w:themeColor="accent2"/>
            </w:tcBorders>
            <w:shd w:val="clear" w:color="auto" w:fill="FF9933"/>
            <w:vAlign w:val="center"/>
          </w:tcPr>
          <w:p w14:paraId="5AD8CF75" w14:textId="77777777" w:rsidR="0075642D" w:rsidRDefault="00000000">
            <w:pPr>
              <w:spacing w:before="0" w:after="0" w:line="240" w:lineRule="auto"/>
              <w:jc w:val="center"/>
              <w:rPr>
                <w:b/>
                <w:bCs/>
                <w:color w:val="E2EFD9" w:themeColor="accent6" w:themeTint="33"/>
              </w:rPr>
            </w:pPr>
            <w:r>
              <w:rPr>
                <w:b/>
                <w:bCs/>
                <w:color w:val="E2EFD9" w:themeColor="accent6" w:themeTint="33"/>
              </w:rPr>
              <w:t xml:space="preserve">Ligne de commandes </w:t>
            </w:r>
          </w:p>
        </w:tc>
      </w:tr>
      <w:tr w:rsidR="0075642D" w:rsidRPr="00F14E1D" w14:paraId="30670859" w14:textId="77777777">
        <w:trPr>
          <w:jc w:val="center"/>
        </w:trPr>
        <w:tc>
          <w:tcPr>
            <w:tcW w:w="7597" w:type="dxa"/>
            <w:tcBorders>
              <w:top w:val="single" w:sz="12" w:space="0" w:color="ED7D31" w:themeColor="accent2"/>
              <w:bottom w:val="double" w:sz="4" w:space="0" w:color="ED7D31" w:themeColor="accent2"/>
            </w:tcBorders>
            <w:shd w:val="clear" w:color="auto" w:fill="3366CC"/>
          </w:tcPr>
          <w:p w14:paraId="4DD9E159"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 xml:space="preserve">MySQL : </w:t>
            </w:r>
            <w:r>
              <w:rPr>
                <w:color w:val="FFD54E"/>
              </w:rPr>
              <w:t>alter</w:t>
            </w:r>
            <w:r>
              <w:rPr>
                <w:color w:val="E2EFD9" w:themeColor="accent6" w:themeTint="33"/>
              </w:rPr>
              <w:t xml:space="preserve"> </w:t>
            </w:r>
            <w:r>
              <w:rPr>
                <w:color w:val="FFD54E"/>
              </w:rPr>
              <w:t xml:space="preserve">table </w:t>
            </w:r>
            <w:r>
              <w:rPr>
                <w:color w:val="E2EFD9" w:themeColor="accent6" w:themeTint="33"/>
              </w:rPr>
              <w:t>table_1</w:t>
            </w:r>
            <w:r>
              <w:rPr>
                <w:color w:val="FFD54E"/>
              </w:rPr>
              <w:t xml:space="preserve"> add/drop </w:t>
            </w:r>
            <w:r>
              <w:rPr>
                <w:color w:val="E2EFD9" w:themeColor="accent6" w:themeTint="33"/>
              </w:rPr>
              <w:t xml:space="preserve">nom_2_col ou nom_2_contrain </w:t>
            </w:r>
          </w:p>
          <w:p w14:paraId="3AA6E9E0" w14:textId="77777777" w:rsidR="0075642D" w:rsidRDefault="00000000">
            <w:pPr>
              <w:pStyle w:val="Paragraphedeliste"/>
              <w:numPr>
                <w:ilvl w:val="0"/>
                <w:numId w:val="5"/>
              </w:numPr>
              <w:spacing w:line="276" w:lineRule="auto"/>
              <w:rPr>
                <w:color w:val="E2EFD9" w:themeColor="accent6" w:themeTint="33"/>
                <w:lang w:val="en-GB"/>
              </w:rPr>
            </w:pPr>
            <w:r>
              <w:rPr>
                <w:color w:val="E2EFD9" w:themeColor="accent6" w:themeTint="33"/>
                <w:lang w:val="en-GB"/>
              </w:rPr>
              <w:t xml:space="preserve">MySQL : </w:t>
            </w:r>
            <w:r>
              <w:rPr>
                <w:color w:val="FFD54E"/>
                <w:lang w:val="en-GB"/>
              </w:rPr>
              <w:t>rename</w:t>
            </w:r>
            <w:r>
              <w:rPr>
                <w:color w:val="E2EFD9" w:themeColor="accent6" w:themeTint="33"/>
                <w:lang w:val="en-GB"/>
              </w:rPr>
              <w:t xml:space="preserve"> table </w:t>
            </w:r>
            <w:r>
              <w:rPr>
                <w:color w:val="FFD54E"/>
                <w:lang w:val="en-GB"/>
              </w:rPr>
              <w:t>to</w:t>
            </w:r>
            <w:r>
              <w:rPr>
                <w:color w:val="E2EFD9" w:themeColor="accent6" w:themeTint="33"/>
                <w:lang w:val="en-GB"/>
              </w:rPr>
              <w:t xml:space="preserve"> sav_table</w:t>
            </w:r>
          </w:p>
        </w:tc>
      </w:tr>
    </w:tbl>
    <w:p w14:paraId="7BB80D3A" w14:textId="77777777" w:rsidR="0075642D" w:rsidRDefault="0075642D">
      <w:pPr>
        <w:rPr>
          <w:lang w:val="en-GB"/>
        </w:rPr>
      </w:pPr>
    </w:p>
    <w:p w14:paraId="5EE07489" w14:textId="77777777" w:rsidR="0075642D" w:rsidRDefault="00000000">
      <w:pPr>
        <w:pStyle w:val="Titre2"/>
        <w:numPr>
          <w:ilvl w:val="0"/>
          <w:numId w:val="4"/>
        </w:numPr>
      </w:pPr>
      <w:r>
        <w:lastRenderedPageBreak/>
        <w:t>Les vues</w:t>
      </w:r>
    </w:p>
    <w:p w14:paraId="63E39F62" w14:textId="77777777" w:rsidR="0075642D" w:rsidRDefault="00000000">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2E6656DB" w14:textId="77777777" w:rsidR="0075642D" w:rsidRDefault="00000000">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271EEAC0" w14:textId="77777777" w:rsidR="0075642D" w:rsidRDefault="00000000">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5783"/>
      </w:tblGrid>
      <w:tr w:rsidR="0075642D" w14:paraId="41778DFE" w14:textId="77777777">
        <w:trPr>
          <w:trHeight w:val="576"/>
          <w:jc w:val="center"/>
        </w:trPr>
        <w:tc>
          <w:tcPr>
            <w:tcW w:w="5783" w:type="dxa"/>
            <w:tcBorders>
              <w:top w:val="double" w:sz="4" w:space="0" w:color="ED7D31" w:themeColor="accent2"/>
              <w:bottom w:val="single" w:sz="12" w:space="0" w:color="ED7D31" w:themeColor="accent2"/>
            </w:tcBorders>
            <w:shd w:val="clear" w:color="auto" w:fill="FF9900"/>
            <w:vAlign w:val="center"/>
          </w:tcPr>
          <w:p w14:paraId="68207D66" w14:textId="77777777" w:rsidR="0075642D" w:rsidRDefault="00000000">
            <w:pPr>
              <w:spacing w:before="0" w:after="0" w:line="240" w:lineRule="auto"/>
              <w:jc w:val="center"/>
              <w:rPr>
                <w:b/>
                <w:bCs/>
                <w:color w:val="E2EFD9" w:themeColor="accent6" w:themeTint="33"/>
              </w:rPr>
            </w:pPr>
            <w:r>
              <w:rPr>
                <w:b/>
                <w:bCs/>
                <w:color w:val="E2EFD9" w:themeColor="accent6" w:themeTint="33"/>
              </w:rPr>
              <w:t>Ligne de commandes</w:t>
            </w:r>
          </w:p>
        </w:tc>
      </w:tr>
      <w:tr w:rsidR="0075642D" w:rsidRPr="00F14E1D" w14:paraId="6788099C" w14:textId="77777777">
        <w:trPr>
          <w:jc w:val="center"/>
        </w:trPr>
        <w:tc>
          <w:tcPr>
            <w:tcW w:w="5783" w:type="dxa"/>
            <w:tcBorders>
              <w:top w:val="single" w:sz="12" w:space="0" w:color="ED7D31" w:themeColor="accent2"/>
              <w:bottom w:val="double" w:sz="4" w:space="0" w:color="ED7D31" w:themeColor="accent2"/>
            </w:tcBorders>
            <w:shd w:val="clear" w:color="auto" w:fill="3366CC"/>
          </w:tcPr>
          <w:p w14:paraId="228F1E3F" w14:textId="77777777" w:rsidR="0075642D" w:rsidRDefault="00000000">
            <w:pPr>
              <w:pStyle w:val="Paragraphedeliste"/>
              <w:numPr>
                <w:ilvl w:val="0"/>
                <w:numId w:val="5"/>
              </w:numPr>
              <w:spacing w:line="276" w:lineRule="auto"/>
              <w:rPr>
                <w:color w:val="E2EFD9" w:themeColor="accent6" w:themeTint="33"/>
                <w:lang w:val="en-GB"/>
              </w:rPr>
            </w:pPr>
            <w:r>
              <w:rPr>
                <w:color w:val="FFD54E"/>
                <w:lang w:val="en-GB"/>
              </w:rPr>
              <w:t xml:space="preserve">create view </w:t>
            </w:r>
            <w:r>
              <w:rPr>
                <w:color w:val="E2EFD9" w:themeColor="accent6" w:themeTint="33"/>
                <w:lang w:val="en-GB"/>
              </w:rPr>
              <w:t xml:space="preserve">&lt;nom_vue&gt; </w:t>
            </w:r>
            <w:r>
              <w:rPr>
                <w:color w:val="FFD54E"/>
                <w:lang w:val="en-GB"/>
              </w:rPr>
              <w:t>as select</w:t>
            </w:r>
          </w:p>
        </w:tc>
      </w:tr>
    </w:tbl>
    <w:p w14:paraId="68E5A4C0" w14:textId="227B5230" w:rsidR="0075642D" w:rsidRDefault="00000000">
      <w:r>
        <w:t xml:space="preserve">En théorie, une vue n’est pas stockée sur le disque, elle est montée en mémoire lors de sa première utilisation. Cependant, </w:t>
      </w:r>
      <w:r w:rsidR="00636343">
        <w:t>certains</w:t>
      </w:r>
      <w:r>
        <w:t xml:space="preserve"> SGBDR proposent de stocker des vues sur le disque, dans ce cas, elles se comportent comme des tables. L’accès à la vue se fera avec SELECT, comme pour une table classique. La suppression d’une vue se fait avec l’ordre DROP VIEW.</w:t>
      </w:r>
    </w:p>
    <w:p w14:paraId="02410828" w14:textId="7CBE11EB" w:rsidR="00C70B93" w:rsidRDefault="00C70B93" w:rsidP="00C70B93">
      <w:pPr>
        <w:pStyle w:val="Titre2"/>
        <w:numPr>
          <w:ilvl w:val="0"/>
          <w:numId w:val="4"/>
        </w:numPr>
      </w:pPr>
      <w:r>
        <w:t>L</w:t>
      </w:r>
      <w:r w:rsidR="001757C4">
        <w:t>es contraintes (</w:t>
      </w:r>
      <w:r>
        <w:t>intégrité des données</w:t>
      </w:r>
      <w:r w:rsidR="001757C4">
        <w:t>)</w:t>
      </w:r>
      <w:r>
        <w:t xml:space="preserve"> et les types de clés</w:t>
      </w:r>
    </w:p>
    <w:p w14:paraId="4F06FC62" w14:textId="0F6C5C09" w:rsidR="00801438" w:rsidRDefault="00760ED3" w:rsidP="00C70B93">
      <w:r>
        <w:t xml:space="preserve">Les contraintes (d’intégrité) en base de données relationnelle sont des règles définies pour garantir l’intégrité, la cohérence et la validité des données. Les contraintes </w:t>
      </w:r>
      <w:r w:rsidR="00801438">
        <w:t>qui imposent des restrictions sur les données stockées dans une table sont étroitement liées aux clés</w:t>
      </w:r>
      <w:r w:rsidR="0070036D">
        <w:t xml:space="preserve"> (primaires, étrangères, candidates, etc)</w:t>
      </w:r>
      <w:r w:rsidR="00801438">
        <w:t>, car ces dernières définissent certaines règles.</w:t>
      </w:r>
    </w:p>
    <w:p w14:paraId="1CE89F2F" w14:textId="7F9CB2D3" w:rsidR="00321C68" w:rsidRDefault="00801438" w:rsidP="00321C68">
      <w:r>
        <w:lastRenderedPageBreak/>
        <w:t xml:space="preserve">En somme, une clé est un type particulier de contrainte. </w:t>
      </w:r>
      <w:r w:rsidR="0070036D">
        <w:t>Ell</w:t>
      </w:r>
      <w:r>
        <w:t xml:space="preserve">es </w:t>
      </w:r>
      <w:r w:rsidR="0070036D">
        <w:t>imposent des règles particulières sur les données, toujours dans le but de garantir l’intégrité, l’unicité et la cohérence au sein d’une base de données.</w:t>
      </w:r>
    </w:p>
    <w:p w14:paraId="0B83D8E1" w14:textId="5A4083C5" w:rsidR="00321C68" w:rsidRDefault="00321C68" w:rsidP="00321C68">
      <w:pPr>
        <w:pStyle w:val="Titre3"/>
        <w:numPr>
          <w:ilvl w:val="1"/>
          <w:numId w:val="9"/>
        </w:numPr>
      </w:pPr>
      <w:r>
        <w:t xml:space="preserve"> Les principales contraintes</w:t>
      </w:r>
    </w:p>
    <w:p w14:paraId="7296A6EE" w14:textId="6D0A0747" w:rsidR="006F3214" w:rsidRDefault="006161BD" w:rsidP="006F3214">
      <w:pPr>
        <w:pStyle w:val="Paragraphedeliste"/>
        <w:numPr>
          <w:ilvl w:val="0"/>
          <w:numId w:val="11"/>
        </w:numPr>
      </w:pPr>
      <w:r w:rsidRPr="00BD2AF3">
        <w:rPr>
          <w:color w:val="FFFFFF" w:themeColor="background1"/>
        </w:rPr>
        <w:t xml:space="preserve">La contrainte </w:t>
      </w:r>
      <w:r w:rsidRPr="00BD2AF3">
        <w:rPr>
          <w:color w:val="ED7D31" w:themeColor="accent2"/>
        </w:rPr>
        <w:t xml:space="preserve">NULL </w:t>
      </w:r>
      <w:r w:rsidRPr="00BD2AF3">
        <w:rPr>
          <w:color w:val="FFFFFF" w:themeColor="background1"/>
        </w:rPr>
        <w:t>et</w:t>
      </w:r>
      <w:r w:rsidRPr="00BD2AF3">
        <w:rPr>
          <w:color w:val="ED7D31" w:themeColor="accent2"/>
        </w:rPr>
        <w:t xml:space="preserve"> NOT NULL</w:t>
      </w:r>
      <w:r w:rsidR="006F3214">
        <w:t xml:space="preserve">, lors d’une insertion ou d’une modification, si l’on ne précise pas de valeur pour une colonne, celle-ci est vide et prend la valeur NULL. </w:t>
      </w:r>
      <w:r w:rsidR="009B355A">
        <w:t xml:space="preserve">La contrainte </w:t>
      </w:r>
      <w:r w:rsidR="009B355A" w:rsidRPr="00BD2AF3">
        <w:rPr>
          <w:color w:val="00B0F0"/>
        </w:rPr>
        <w:t>NOT NULL</w:t>
      </w:r>
      <w:r w:rsidR="009B355A">
        <w:t xml:space="preserve"> impose comme contrainte qu’une colonne ne puisse pas contenir de valeur </w:t>
      </w:r>
      <w:r w:rsidR="009B355A" w:rsidRPr="00BD2AF3">
        <w:rPr>
          <w:color w:val="00B0F0"/>
        </w:rPr>
        <w:t>NULL</w:t>
      </w:r>
      <w:r w:rsidR="009B355A">
        <w:t>.</w:t>
      </w:r>
      <w:r w:rsidR="00BD2AF3">
        <w:t xml:space="preserve"> Par exemple, les colonnes d’une </w:t>
      </w:r>
      <w:r w:rsidR="00BD2AF3" w:rsidRPr="00BD2AF3">
        <w:rPr>
          <w:color w:val="00CC99"/>
        </w:rPr>
        <w:t>clé primaire</w:t>
      </w:r>
      <w:r w:rsidR="00BD2AF3">
        <w:t xml:space="preserve"> sont automatiquement soumises à cette contrainte, car une clé primaire ne peut pas être NULL.</w:t>
      </w:r>
    </w:p>
    <w:p w14:paraId="7227EAF1" w14:textId="6C43D09A" w:rsidR="00BD2AF3" w:rsidRDefault="00BD2AF3" w:rsidP="006F3214">
      <w:pPr>
        <w:pStyle w:val="Paragraphedeliste"/>
        <w:numPr>
          <w:ilvl w:val="0"/>
          <w:numId w:val="11"/>
        </w:numPr>
      </w:pPr>
      <w:r>
        <w:t xml:space="preserve">La contrainte </w:t>
      </w:r>
      <w:r w:rsidRPr="00233861">
        <w:rPr>
          <w:color w:val="ED7D31" w:themeColor="accent2"/>
        </w:rPr>
        <w:t>DEFAULT</w:t>
      </w:r>
      <w:r>
        <w:t>,</w:t>
      </w:r>
      <w:r w:rsidR="006F511F">
        <w:t xml:space="preserve"> définit d’une valeur par défaut pour une colonne si aucune valeur n’est spécifiée lors de l’insertion d’un enregistrement. Elle peut permettre d’attribuer </w:t>
      </w:r>
      <w:r w:rsidR="00EB1CB1">
        <w:t xml:space="preserve">une valeur par défaut à cette colonne afin de ne pas avoir de valeur </w:t>
      </w:r>
      <w:r w:rsidR="00EB1CB1" w:rsidRPr="00233861">
        <w:rPr>
          <w:color w:val="ED7D31" w:themeColor="accent2"/>
        </w:rPr>
        <w:t>NULL</w:t>
      </w:r>
      <w:r w:rsidR="00EB1CB1">
        <w:t xml:space="preserve"> dans la base. L’attribution d’une valeur par défaut s’effectue lors de la création de la table ou par un </w:t>
      </w:r>
      <w:r w:rsidR="00EB1CB1" w:rsidRPr="00233861">
        <w:rPr>
          <w:color w:val="ED7D31" w:themeColor="accent2"/>
        </w:rPr>
        <w:t>ALTER TABLE</w:t>
      </w:r>
      <w:r w:rsidR="00EB1CB1">
        <w:t>.</w:t>
      </w:r>
      <w:r w:rsidR="00C124BE">
        <w:t xml:space="preserve"> Il est important de noter que cette valeur peut être la sortie d’une fonction comme la date du jour.</w:t>
      </w:r>
      <w:r w:rsidR="00930AAC">
        <w:t xml:space="preserve"> Précisons que pour qu’une </w:t>
      </w:r>
      <w:r w:rsidR="00AF5D7B">
        <w:t xml:space="preserve">valeur par défaut soit prise en compte par le SGBDR, il faut qu’aucune valeur n’ai été affectée à la préalablement à la colonne via un ordre </w:t>
      </w:r>
      <w:r w:rsidR="00AF5D7B" w:rsidRPr="008343E4">
        <w:rPr>
          <w:color w:val="ED7D31" w:themeColor="accent2"/>
        </w:rPr>
        <w:t>INSERT</w:t>
      </w:r>
      <w:r w:rsidR="00AF5D7B">
        <w:t>.</w:t>
      </w:r>
    </w:p>
    <w:p w14:paraId="424AA1C4" w14:textId="18D71A4C" w:rsidR="008343E4" w:rsidRDefault="00EF6F39" w:rsidP="006F3214">
      <w:pPr>
        <w:pStyle w:val="Paragraphedeliste"/>
        <w:numPr>
          <w:ilvl w:val="0"/>
          <w:numId w:val="11"/>
        </w:numPr>
      </w:pPr>
      <w:r>
        <w:t xml:space="preserve">La contrainte </w:t>
      </w:r>
      <w:r w:rsidRPr="00A679E7">
        <w:rPr>
          <w:color w:val="ED7D31" w:themeColor="accent2"/>
        </w:rPr>
        <w:t>UNIQUE</w:t>
      </w:r>
      <w:r>
        <w:t xml:space="preserve"> impose que toutes les valeurs dans une colonne ou un groupe de colonnes soient uniques, c’est-à-dire qu’aucun doublon ne soit autorisé.</w:t>
      </w:r>
      <w:r w:rsidR="004E12FF">
        <w:t xml:space="preserve"> Cette contrainte</w:t>
      </w:r>
      <w:r w:rsidR="00A679E7">
        <w:t xml:space="preserve"> est utilisée pour garantir l’unicité des valeurs dans une colonne qui n’est pas une clé primaire. Cela est par exemple, une adresse email dans une table Utilisateurs. Il est à noté qu’une colonne déclarée en </w:t>
      </w:r>
      <w:r w:rsidR="00A679E7" w:rsidRPr="00A679E7">
        <w:rPr>
          <w:color w:val="ED7D31" w:themeColor="accent2"/>
        </w:rPr>
        <w:t>UNIQUE</w:t>
      </w:r>
      <w:r w:rsidR="00A679E7">
        <w:t xml:space="preserve"> peut quand même contenir un ou plusieurs </w:t>
      </w:r>
      <w:r w:rsidR="00A679E7" w:rsidRPr="00B92D7E">
        <w:rPr>
          <w:color w:val="ED7D31" w:themeColor="accent2"/>
        </w:rPr>
        <w:t>NULL</w:t>
      </w:r>
      <w:r w:rsidR="00A679E7">
        <w:t xml:space="preserve">, si l’on ne précise pas la clause </w:t>
      </w:r>
      <w:r w:rsidR="00A679E7" w:rsidRPr="00A679E7">
        <w:rPr>
          <w:color w:val="ED7D31" w:themeColor="accent2"/>
        </w:rPr>
        <w:t>NOT NULL</w:t>
      </w:r>
      <w:r w:rsidR="00A679E7">
        <w:rPr>
          <w:color w:val="ED7D31" w:themeColor="accent2"/>
        </w:rPr>
        <w:t xml:space="preserve"> </w:t>
      </w:r>
      <w:r w:rsidR="00A679E7">
        <w:rPr>
          <w:color w:val="FFFFFF" w:themeColor="background1"/>
        </w:rPr>
        <w:t>au moment de sa création</w:t>
      </w:r>
      <w:r w:rsidR="00A679E7">
        <w:t>.</w:t>
      </w:r>
    </w:p>
    <w:p w14:paraId="3D07AEE1" w14:textId="298B1334" w:rsidR="00A679E7" w:rsidRPr="00A9180B" w:rsidRDefault="00312C11" w:rsidP="006F3214">
      <w:pPr>
        <w:pStyle w:val="Paragraphedeliste"/>
        <w:numPr>
          <w:ilvl w:val="0"/>
          <w:numId w:val="11"/>
        </w:numPr>
      </w:pPr>
      <w:r>
        <w:t xml:space="preserve">La </w:t>
      </w:r>
      <w:r w:rsidR="000F0E8E">
        <w:t xml:space="preserve">contrainte </w:t>
      </w:r>
      <w:r w:rsidR="000F0E8E" w:rsidRPr="00B92D7E">
        <w:rPr>
          <w:color w:val="ED7D31" w:themeColor="accent2"/>
        </w:rPr>
        <w:t xml:space="preserve">CHECK </w:t>
      </w:r>
      <w:r w:rsidR="000F0E8E">
        <w:t>impose que toutes les valeurs dans une colonne doivent satisfaire une condition spécifique. Cela permet de restreindre les valeurs possibles dans une colonne</w:t>
      </w:r>
      <w:r w:rsidR="00AF3273">
        <w:t xml:space="preserve"> (par exemple &gt;0)</w:t>
      </w:r>
      <w:r w:rsidR="000F0E8E">
        <w:t>.</w:t>
      </w:r>
      <w:r w:rsidR="00B92D7E">
        <w:t xml:space="preserve"> ON peut contrôler la colonne avec des valeurs, mais également par l’appel à une fonction ou encore en spécifiant un </w:t>
      </w:r>
      <w:r w:rsidR="00B92D7E" w:rsidRPr="000304DB">
        <w:rPr>
          <w:color w:val="ED7D31" w:themeColor="accent2"/>
        </w:rPr>
        <w:t>SELECT</w:t>
      </w:r>
      <w:r w:rsidR="00B92D7E">
        <w:t xml:space="preserve"> spécifique.</w:t>
      </w:r>
      <w:r w:rsidR="000304DB">
        <w:t xml:space="preserve"> Il est a noté que la clause CHECK est implémentée dans MySQL, mais n’a aucun effet. Il faut passer par des contrôles par un programme ou utiliser </w:t>
      </w:r>
      <w:r w:rsidR="000304DB" w:rsidRPr="00FA0818">
        <w:rPr>
          <w:color w:val="00CC99"/>
        </w:rPr>
        <w:t>TRIGGER</w:t>
      </w:r>
      <w:r w:rsidR="000304DB">
        <w:t>.</w:t>
      </w:r>
    </w:p>
    <w:p w14:paraId="4FA89135" w14:textId="25F13FF1" w:rsidR="00321C68" w:rsidRDefault="00321C68" w:rsidP="00321C68">
      <w:pPr>
        <w:pStyle w:val="Titre3"/>
        <w:numPr>
          <w:ilvl w:val="1"/>
          <w:numId w:val="9"/>
        </w:numPr>
      </w:pPr>
      <w:r>
        <w:lastRenderedPageBreak/>
        <w:t xml:space="preserve"> </w:t>
      </w:r>
      <w:r w:rsidR="00515F59">
        <w:t>Les clés</w:t>
      </w:r>
    </w:p>
    <w:p w14:paraId="279F9BE1" w14:textId="1E9D9A37" w:rsidR="00FA0818" w:rsidRDefault="006037F7" w:rsidP="00FA0818">
      <w:r>
        <w:t>Les clés sont des éléments essentiels dans les bases de données relationnelles, car elles assurent l’intégrité des données et permettent de gérer les relations entre les tables.</w:t>
      </w:r>
      <w:r w:rsidR="00A55B51">
        <w:t xml:space="preserve"> Il s’agit de contraintes spécifiques.</w:t>
      </w:r>
    </w:p>
    <w:p w14:paraId="580F6FC1" w14:textId="33E40532" w:rsidR="00A55B51" w:rsidRDefault="00E211AA" w:rsidP="00A55B51">
      <w:pPr>
        <w:pStyle w:val="Paragraphedeliste"/>
        <w:numPr>
          <w:ilvl w:val="0"/>
          <w:numId w:val="12"/>
        </w:numPr>
      </w:pPr>
      <w:r w:rsidRPr="00E211AA">
        <w:rPr>
          <w:color w:val="F75959"/>
        </w:rPr>
        <w:t>PRIMARY KEY</w:t>
      </w:r>
      <w:r>
        <w:t> : c</w:t>
      </w:r>
      <w:r w:rsidR="00A55B51" w:rsidRPr="00F25253">
        <w:t>lé primaire (</w:t>
      </w:r>
      <w:r w:rsidR="0008653E" w:rsidRPr="00F25253">
        <w:t>P</w:t>
      </w:r>
      <w:r w:rsidR="00A55B51" w:rsidRPr="00F25253">
        <w:t xml:space="preserve">rimary </w:t>
      </w:r>
      <w:r w:rsidR="0008653E" w:rsidRPr="00F25253">
        <w:t>K</w:t>
      </w:r>
      <w:r w:rsidR="00A55B51" w:rsidRPr="00F25253">
        <w:t>ey)</w:t>
      </w:r>
      <w:r w:rsidR="00F25253" w:rsidRPr="00F25253">
        <w:t>, il s</w:t>
      </w:r>
      <w:r w:rsidR="00F25253">
        <w:t>’</w:t>
      </w:r>
      <w:r w:rsidR="00F25253" w:rsidRPr="00F25253">
        <w:t>a</w:t>
      </w:r>
      <w:r w:rsidR="00F25253">
        <w:t>git de la clé principale d’une table.</w:t>
      </w:r>
      <w:r>
        <w:t xml:space="preserve"> </w:t>
      </w:r>
      <w:r w:rsidR="00FE2E98">
        <w:t xml:space="preserve">La contrainte de clé primaire impose que les valeurs dans les colonnes spécifiées doivent être uniques et non nulles. </w:t>
      </w:r>
      <w:r>
        <w:t>Le SGBDR va contrôler systématiquement à chaque insertion ou modification d’une ligne que la clé est unique dans la table. Dans le cas contraire, il rejette la demande de modification avec un message d’erreur de ce message d’erreur.</w:t>
      </w:r>
      <w:r w:rsidR="004C028B">
        <w:t xml:space="preserve"> Cette contrainte assure que chaque enregistrement dans la table est unique.</w:t>
      </w:r>
      <w:r w:rsidR="002F41FF">
        <w:t xml:space="preserve"> La clé primaire est directement liée à cette contrainte. Lorsqu’une colonne ou ensemble de colonnes est désigné comme clé primaire, la contrainte PRIMARY KEY est automatiquement appliquée.</w:t>
      </w:r>
      <w:r w:rsidR="00D50862">
        <w:t xml:space="preserve"> Dans ce cas, la/les colonne(s) sera/seront </w:t>
      </w:r>
      <w:r w:rsidR="00D50862" w:rsidRPr="00D50862">
        <w:rPr>
          <w:color w:val="ED7D31" w:themeColor="accent2"/>
        </w:rPr>
        <w:t xml:space="preserve">NOT NULL </w:t>
      </w:r>
      <w:r w:rsidR="00D50862">
        <w:t xml:space="preserve">et </w:t>
      </w:r>
      <w:r w:rsidR="00D50862" w:rsidRPr="00D50862">
        <w:rPr>
          <w:color w:val="ED7D31" w:themeColor="accent2"/>
        </w:rPr>
        <w:t>UNIQUE</w:t>
      </w:r>
      <w:r w:rsidR="00D50862">
        <w:t>. Notons qu’il est conseillé de nommer la contrainte.</w:t>
      </w:r>
      <w:r w:rsidR="00ED3AE5">
        <w:t xml:space="preserve"> Généralement, PK_&lt;nom de table&gt;, pour Primary Key est utilisé afin que développeur ou utilisateur à la lecture du nom contrainte sache qu’il s’agit d’une clé primaire et sur quelle table le problème a été rencontré.</w:t>
      </w:r>
    </w:p>
    <w:p w14:paraId="21D34AD0" w14:textId="327159A2" w:rsidR="001A77BB" w:rsidRPr="00F25253" w:rsidRDefault="001A77BB" w:rsidP="001A77BB">
      <w:pPr>
        <w:pStyle w:val="Paragraphedeliste"/>
        <w:numPr>
          <w:ilvl w:val="0"/>
          <w:numId w:val="12"/>
        </w:numPr>
      </w:pPr>
      <w:r>
        <w:rPr>
          <w:color w:val="F75959"/>
        </w:rPr>
        <w:t>SECONDARY KEY </w:t>
      </w:r>
      <w:r>
        <w:rPr>
          <w:color w:val="FFFFFF" w:themeColor="background1"/>
        </w:rPr>
        <w:t>: clé secondaire, une clé secondaire est un index crée sur un ou plusieurs champs d’une table, en plus de la clé primaire. Contrairement à la clé primaire, la clé secondaire n’est pas nécessairement unique et peut contenir des valeurs NULL. Les clés secondaires ne servent pas à identifier de manière unique les enregistrements dans une table, mais plutôt pour accélérer les recherches basées sur des colonnes spécifiques. San</w:t>
      </w:r>
      <w:r w:rsidR="0064039F">
        <w:rPr>
          <w:color w:val="FFFFFF" w:themeColor="background1"/>
        </w:rPr>
        <w:t>s</w:t>
      </w:r>
      <w:r>
        <w:rPr>
          <w:color w:val="FFFFFF" w:themeColor="background1"/>
        </w:rPr>
        <w:t xml:space="preserve"> un index secondaire, la base de données doit effectuer une recherche de manière séquentielle pour trouver ceux qui correspondent à la condition. Un index secondaire permet à la base de données de localiser les données beaucoup plus rapidement.</w:t>
      </w:r>
      <w:r w:rsidR="00FC2946">
        <w:rPr>
          <w:color w:val="FFFFFF" w:themeColor="background1"/>
        </w:rPr>
        <w:t xml:space="preserve"> </w:t>
      </w:r>
      <w:r w:rsidR="00FC2946">
        <w:rPr>
          <w:color w:val="FFFFFF" w:themeColor="background1"/>
        </w:rPr>
        <w:t>Les index secondaires peuvent considérablement améliorer les performances de requêtes complexes, notamment celles qui utilisent des clauses WHERE, ORDER BY ou JOIN sur les colonnes indexées. La création et la maintenance des index secondaires ont un coût. Chaque fois qu’une opération INSER</w:t>
      </w:r>
      <w:r w:rsidR="000856F0">
        <w:rPr>
          <w:color w:val="FFFFFF" w:themeColor="background1"/>
        </w:rPr>
        <w:t>T</w:t>
      </w:r>
      <w:r w:rsidR="00FC2946">
        <w:rPr>
          <w:color w:val="FFFFFF" w:themeColor="background1"/>
        </w:rPr>
        <w:t>, UPDATE ou DELE</w:t>
      </w:r>
      <w:r w:rsidR="0064039F">
        <w:rPr>
          <w:color w:val="FFFFFF" w:themeColor="background1"/>
        </w:rPr>
        <w:t>T</w:t>
      </w:r>
      <w:r w:rsidR="00FC2946">
        <w:rPr>
          <w:color w:val="FFFFFF" w:themeColor="background1"/>
        </w:rPr>
        <w:t xml:space="preserve">E est effectué sur une table, les index secondaires doivent être mis </w:t>
      </w:r>
      <w:r w:rsidR="00FC2946">
        <w:rPr>
          <w:color w:val="FFFFFF" w:themeColor="background1"/>
        </w:rPr>
        <w:lastRenderedPageBreak/>
        <w:t>à jour, ce qui peut ralentir ces opérations.</w:t>
      </w:r>
      <w:r w:rsidR="00FC2946">
        <w:rPr>
          <w:color w:val="FFFFFF" w:themeColor="background1"/>
        </w:rPr>
        <w:t xml:space="preserve"> Trois types d’index existent : (1) index unique : empêche les valeurs dupliquées dans la colonne indexée, (2) index non unique, permet des valeurs dupliquées (type d’index secondaire le plus courant), (3) index composite qui englobe plusieurs colonnes, optimisant les requêtes qui filtrent ou trient sur ces données.</w:t>
      </w:r>
    </w:p>
    <w:p w14:paraId="4614AA3A" w14:textId="722FB892" w:rsidR="001A77BB" w:rsidRDefault="001A77BB" w:rsidP="00A55B51">
      <w:pPr>
        <w:pStyle w:val="Paragraphedeliste"/>
        <w:numPr>
          <w:ilvl w:val="0"/>
          <w:numId w:val="12"/>
        </w:numPr>
      </w:pPr>
      <w:r>
        <w:t xml:space="preserve">Les différences entre </w:t>
      </w:r>
      <w:r w:rsidRPr="00991E33">
        <w:rPr>
          <w:color w:val="F75959"/>
        </w:rPr>
        <w:t>clé primaire</w:t>
      </w:r>
      <w:r>
        <w:t xml:space="preserve"> et </w:t>
      </w:r>
      <w:r w:rsidRPr="00991E33">
        <w:rPr>
          <w:color w:val="F75959"/>
        </w:rPr>
        <w:t>clé secondair</w:t>
      </w:r>
      <w:r>
        <w:t xml:space="preserve">e : </w:t>
      </w:r>
      <w:r w:rsidR="00991E33">
        <w:t>une clé unique identifie de manière unique un enregistrement dans une table, une clé secondaire optimise l’accès aux données pour les opérations de recherche, tri ou filtrage.</w:t>
      </w:r>
    </w:p>
    <w:p w14:paraId="5CCCD65A" w14:textId="6794189B" w:rsidR="00ED3AE5" w:rsidRDefault="004D1D55" w:rsidP="00A55B51">
      <w:pPr>
        <w:pStyle w:val="Paragraphedeliste"/>
        <w:numPr>
          <w:ilvl w:val="0"/>
          <w:numId w:val="12"/>
        </w:numPr>
      </w:pPr>
      <w:r w:rsidRPr="00CB025C">
        <w:rPr>
          <w:color w:val="F75959"/>
        </w:rPr>
        <w:t>FOREIGN KEY</w:t>
      </w:r>
      <w:r>
        <w:t> : clé étrangère, c’est-à-dire que l’on s’appuie sur une autre table pour indiquer comment contrôler les colonnes de notre table principale. Une clé étrangère est une contrainte qui lie une colonne d’une table à la clé primaire d’une autre table, garantissant que les relations entre les tables sont cohérentes. Ainsi, une fois que la table étrangère contienne une clé primaire pour que le SGBDR puisse faire le lien.</w:t>
      </w:r>
    </w:p>
    <w:p w14:paraId="4DEFE9E9" w14:textId="1EA02231" w:rsidR="002F41FF" w:rsidRPr="008E2FAC" w:rsidRDefault="00CB025C" w:rsidP="00A55B51">
      <w:pPr>
        <w:pStyle w:val="Paragraphedeliste"/>
        <w:numPr>
          <w:ilvl w:val="0"/>
          <w:numId w:val="12"/>
        </w:numPr>
      </w:pPr>
      <w:r w:rsidRPr="008E2FAC">
        <w:rPr>
          <w:color w:val="F75959"/>
        </w:rPr>
        <w:t>C</w:t>
      </w:r>
      <w:r w:rsidR="00F14E1D" w:rsidRPr="008E2FAC">
        <w:rPr>
          <w:color w:val="F75959"/>
        </w:rPr>
        <w:t>ANDIDATE</w:t>
      </w:r>
      <w:r w:rsidRPr="008E2FAC">
        <w:rPr>
          <w:color w:val="F75959"/>
        </w:rPr>
        <w:t xml:space="preserve"> K</w:t>
      </w:r>
      <w:r w:rsidR="00F14E1D" w:rsidRPr="008E2FAC">
        <w:rPr>
          <w:color w:val="F75959"/>
        </w:rPr>
        <w:t>EY</w:t>
      </w:r>
      <w:r w:rsidRPr="008E2FAC">
        <w:rPr>
          <w:color w:val="F75959"/>
        </w:rPr>
        <w:t> </w:t>
      </w:r>
      <w:r w:rsidRPr="008E2FAC">
        <w:t>: clé candidate</w:t>
      </w:r>
      <w:r w:rsidR="00F14E1D" w:rsidRPr="008E2FAC">
        <w:t xml:space="preserve">, </w:t>
      </w:r>
      <w:r w:rsidR="008E2FAC">
        <w:t>u</w:t>
      </w:r>
      <w:r w:rsidR="008E2FAC" w:rsidRPr="008E2FAC">
        <w:t>ne clé</w:t>
      </w:r>
      <w:r w:rsidR="008E2FAC">
        <w:t xml:space="preserve"> candidate est un ensemble minimal d’attributs qui peut identifier de manière unique un enregistrement dans une table. Une table peut avoir plusieurs clés candidates (</w:t>
      </w:r>
      <w:r w:rsidR="0007356E">
        <w:t xml:space="preserve">ID étudiant, </w:t>
      </w:r>
      <w:r w:rsidR="008570A2">
        <w:t>email</w:t>
      </w:r>
      <w:r w:rsidR="008E2FAC">
        <w:t>)</w:t>
      </w:r>
      <w:r w:rsidR="008570A2">
        <w:t>.</w:t>
      </w:r>
    </w:p>
    <w:p w14:paraId="7A3F7B81" w14:textId="68D722D8" w:rsidR="00E91C25" w:rsidRDefault="00F14E1D" w:rsidP="00A55B51">
      <w:pPr>
        <w:pStyle w:val="Paragraphedeliste"/>
        <w:numPr>
          <w:ilvl w:val="0"/>
          <w:numId w:val="12"/>
        </w:numPr>
      </w:pPr>
      <w:r w:rsidRPr="008E2FAC">
        <w:rPr>
          <w:color w:val="F75959"/>
        </w:rPr>
        <w:t>COMPOSITE KEY</w:t>
      </w:r>
      <w:r w:rsidR="00E91C25" w:rsidRPr="008E2FAC">
        <w:rPr>
          <w:color w:val="F75959"/>
        </w:rPr>
        <w:t> </w:t>
      </w:r>
      <w:r w:rsidR="00E91C25" w:rsidRPr="008E2FAC">
        <w:t>: clé composite</w:t>
      </w:r>
      <w:r w:rsidR="008E2FAC" w:rsidRPr="008E2FAC">
        <w:t xml:space="preserve">, </w:t>
      </w:r>
      <w:r w:rsidR="00940C29">
        <w:t xml:space="preserve">une clé composite est une clé primaire composée de deux ou plusieurs colonnes qui ensemble identifient de manière unique un enregistrement dans une table. </w:t>
      </w:r>
      <w:r w:rsidR="00940C29" w:rsidRPr="00940C29">
        <w:rPr>
          <w:u w:val="single"/>
        </w:rPr>
        <w:t>Les colonnes individuelles de la clé composite peuvent ne pas être uniques, mais leur combinaison l’est</w:t>
      </w:r>
      <w:r w:rsidR="00940C29">
        <w:t>.</w:t>
      </w:r>
    </w:p>
    <w:p w14:paraId="386E7D9B" w14:textId="0399A7AB" w:rsidR="00940C29" w:rsidRPr="008E2FAC" w:rsidRDefault="00940C29" w:rsidP="000856F0">
      <w:pPr>
        <w:pStyle w:val="Paragraphedeliste"/>
        <w:numPr>
          <w:ilvl w:val="0"/>
          <w:numId w:val="12"/>
        </w:numPr>
      </w:pPr>
      <w:r>
        <w:rPr>
          <w:color w:val="F75959"/>
        </w:rPr>
        <w:t xml:space="preserve">FOREIGN </w:t>
      </w:r>
      <w:r w:rsidRPr="008E2FAC">
        <w:rPr>
          <w:color w:val="F75959"/>
        </w:rPr>
        <w:t>COMPOSITE KEY </w:t>
      </w:r>
      <w:r w:rsidRPr="008E2FAC">
        <w:t xml:space="preserve">: clé </w:t>
      </w:r>
      <w:r>
        <w:t xml:space="preserve">étrangère </w:t>
      </w:r>
      <w:r w:rsidRPr="008E2FAC">
        <w:t xml:space="preserve">composite, </w:t>
      </w:r>
      <w:r>
        <w:t>similaire à la clé composite</w:t>
      </w:r>
      <w:r w:rsidR="0010589E">
        <w:t>, une clé étrangère composite est une clé étrangère qui se compose de deux ou de plusieurs colonnes et fait référence à une clé composite dans une autre table</w:t>
      </w:r>
      <w:r w:rsidR="00630D30">
        <w:t>.</w:t>
      </w:r>
    </w:p>
    <w:p w14:paraId="776DA494" w14:textId="740E3925" w:rsidR="00E91C25" w:rsidRDefault="00E91C25" w:rsidP="00A55B51">
      <w:pPr>
        <w:pStyle w:val="Paragraphedeliste"/>
        <w:numPr>
          <w:ilvl w:val="0"/>
          <w:numId w:val="12"/>
        </w:numPr>
      </w:pPr>
      <w:r w:rsidRPr="008E2FAC">
        <w:rPr>
          <w:color w:val="F75959"/>
        </w:rPr>
        <w:t>S</w:t>
      </w:r>
      <w:r w:rsidR="00F14E1D" w:rsidRPr="008E2FAC">
        <w:rPr>
          <w:color w:val="F75959"/>
        </w:rPr>
        <w:t>URROGATE</w:t>
      </w:r>
      <w:r>
        <w:t xml:space="preserve"> et </w:t>
      </w:r>
      <w:r w:rsidR="008E2FAC" w:rsidRPr="008E2FAC">
        <w:rPr>
          <w:color w:val="F75959"/>
        </w:rPr>
        <w:t>NATURAL KEY</w:t>
      </w:r>
      <w:r w:rsidR="008E2FAC" w:rsidRPr="008E2FAC">
        <w:t> </w:t>
      </w:r>
      <w:r>
        <w:t>: clé substitut et clé naturelle</w:t>
      </w:r>
      <w:r w:rsidR="00F14E1D">
        <w:t>, une clé naturelle est un attribut ou un ensemble d’attributs existant naturellement dans les données et pouvant servir de clé primaire. Il s’agit généralement de donnée significative (comme un numéro de sécurité sociale, une adresse email, etc.). Une clé substitut est un identifiant artificiel ajouté à une table pour servir de clé primaire, souvent sous forme de numéro séquentiel ou UUID.</w:t>
      </w:r>
      <w:r w:rsidR="00931E00">
        <w:t xml:space="preserve"> Les clés substituts sont utilisées lorsque les clés naturelles sont complexes ou sujettes à un changement (Cela peut être un champ ID auto-incrémenté).</w:t>
      </w:r>
    </w:p>
    <w:p w14:paraId="2A85B011" w14:textId="4693C51D" w:rsidR="00912DEB" w:rsidRPr="00F25253" w:rsidRDefault="00912DEB" w:rsidP="00A55B51">
      <w:pPr>
        <w:pStyle w:val="Paragraphedeliste"/>
        <w:numPr>
          <w:ilvl w:val="0"/>
          <w:numId w:val="12"/>
        </w:numPr>
      </w:pPr>
      <w:r>
        <w:rPr>
          <w:color w:val="F75959"/>
        </w:rPr>
        <w:lastRenderedPageBreak/>
        <w:t>SECONDARY KEY </w:t>
      </w:r>
      <w:r>
        <w:rPr>
          <w:color w:val="FFFFFF" w:themeColor="background1"/>
        </w:rPr>
        <w:t>: clé secondaire, une clé secondaire est un index crée sur un ou plusieurs champs d’une table, en plus de la clé primaire. Contrairement à la clé primaire, la clé secondaire n’est pas nécessairement unique et peut contenir des valeurs NULL.</w:t>
      </w:r>
      <w:r w:rsidR="00011F51">
        <w:rPr>
          <w:color w:val="FFFFFF" w:themeColor="background1"/>
        </w:rPr>
        <w:t xml:space="preserve"> Les clés secondaires ne servent pas à identifier de manière unique les enregistrements dans une table, mais plutôt pour accélérer les recherches basées sur des colonnes spécifiques. San un index secondaire, la base de données doit effectuer une recherche de manière séquentielle pour trouver ceux qui correspondent à la condition. Un index secondaire permet à la base de données de localiser les données beaucoup plus rapidement.</w:t>
      </w:r>
      <w:r w:rsidR="00991E33">
        <w:rPr>
          <w:color w:val="FFFFFF" w:themeColor="background1"/>
        </w:rPr>
        <w:t xml:space="preserve"> Les index secondaires peuvent considérablement améliorer les performances de requêtes complexes, notamment celles qui utilisent des clauses WHERE, ORDER BY ou JOIN sur les colonnes indexées.</w:t>
      </w:r>
      <w:r w:rsidR="001668EA">
        <w:rPr>
          <w:color w:val="FFFFFF" w:themeColor="background1"/>
        </w:rPr>
        <w:t xml:space="preserve"> La création et la maintenance des index secondaires ont un coût. Chaque fois qu’une opération INSER, UPDATE ou DELERE est effectué sur une table, les index secondaires doivent être mis à jour, ce qui peut ralentir ces opérations.</w:t>
      </w:r>
    </w:p>
    <w:p w14:paraId="4CEE35FC" w14:textId="77777777" w:rsidR="0075642D" w:rsidRDefault="00000000">
      <w:pPr>
        <w:pStyle w:val="Titre2"/>
        <w:numPr>
          <w:ilvl w:val="0"/>
          <w:numId w:val="4"/>
        </w:numPr>
      </w:pPr>
      <w:r>
        <w:t>Les index</w:t>
      </w:r>
    </w:p>
    <w:p w14:paraId="6999F563" w14:textId="2011FE00" w:rsidR="0075642D" w:rsidRDefault="00000000">
      <w:r>
        <w:t xml:space="preserve">Le temps d’accès aux données est un paramètre crucial dans une base de données relationnelle. Ainsi, l’utilisation d’un index a pour but d’accélérer la recherche dans une base de données et s’appuie sur des fichiers physiques qui sont </w:t>
      </w:r>
      <w:r w:rsidR="00636343">
        <w:t>créés</w:t>
      </w:r>
      <w:r>
        <w:t xml:space="preserve"> lors de la création de l’index. Sans le fichier d’index, l’ensemble de la table est parcouru séquentiellement jusqu’à trouver l’enregistrement demandé.</w:t>
      </w:r>
    </w:p>
    <w:p w14:paraId="000919CA" w14:textId="1FD46102" w:rsidR="0075642D" w:rsidRDefault="00000000">
      <w:r>
        <w:t>Les index ne font pas partie de la norme SQL, il s’agit d’une implémentation physique géré par le SGBDR.</w:t>
      </w:r>
      <w:r w:rsidR="00EB3160">
        <w:t xml:space="preserve"> </w:t>
      </w:r>
      <w:r>
        <w:t xml:space="preserve">Il existe cinq méthodes de créations </w:t>
      </w:r>
      <w:r w:rsidR="00636343">
        <w:t>d’index :</w:t>
      </w:r>
      <w:r>
        <w:t xml:space="preserve"> (1) hachage, (2) séquentiel, (3) bitmap, (4) arbre, (5) cluster. Les index les plus utilisés sont en bitmap et en arbre. Le choix de la méthode d’indexation est généralement de la responsabilité du DBA.</w:t>
      </w:r>
      <w:r w:rsidR="009D32B7">
        <w:t xml:space="preserve"> </w:t>
      </w:r>
      <w:r>
        <w:t>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594F4FC4" w14:textId="5FDA00F8" w:rsidR="008B093D" w:rsidRDefault="00000000">
      <w:r>
        <w:lastRenderedPageBreak/>
        <w:t xml:space="preserve">Les index doivent être posées sur des colonnes avec des valeurs distinctives. L’index le plus performant sera sur une </w:t>
      </w:r>
      <w:r w:rsidR="00636343">
        <w:t>clé unique.</w:t>
      </w:r>
      <w:r w:rsidR="008B093D">
        <w:t xml:space="preserve"> Il est intéressant de donner un numéro aux index, ainsi on peut connaître automatiquement le nombre d’index posés sur une table. Lorsque plusieurs colonnes.</w:t>
      </w:r>
    </w:p>
    <w:p w14:paraId="22053F4D" w14:textId="14A35E1D" w:rsidR="008B093D" w:rsidRDefault="008B093D">
      <w:r>
        <w:t>Dans la pratique, il est conseillé de créer des index sur les colonnes qui sont déclarées en PRIMARY KEY, sur les colonnes en FOREIGN KEY, sur les colonnes les plus accédées, les colonnes qui servent de jointure entre les tables</w:t>
      </w:r>
      <w:r w:rsidR="005E4D02">
        <w:t>, les colonnes les plus discriminantes.</w:t>
      </w:r>
      <w:r w:rsidR="009D32B7">
        <w:t xml:space="preserve"> Les index de type arbre convient aux tables volumineuses avec des clés uniques ou avec très peu de doublons (&lt;5%). Les index de type bitmap sont à utiliser pour les tables volumineuses qui ont beaucoup de clés en commun avec des taux de mise à jour très faible. Dans une base très peu évolutive, il peut être intéressant de multiplier les index afin d’optimiser les temps de réponse. Cependant, il n’est pas nécessaire d’indexer les petites tables. En effet, l’analyse et la maintenance de l’index seront plus coûteuses que la lecture de la table complète.</w:t>
      </w:r>
      <w:r w:rsidR="00935065">
        <w:t xml:space="preserve"> La suppression d’index se fait avec l’ordre DROP INDEX &lt;nom index&gt;.</w:t>
      </w:r>
    </w:p>
    <w:tbl>
      <w:tblPr>
        <w:tblStyle w:val="Grilledutableau"/>
        <w:tblW w:w="86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8617"/>
      </w:tblGrid>
      <w:tr w:rsidR="008B093D" w14:paraId="0F7C923E" w14:textId="77777777" w:rsidTr="008B093D">
        <w:trPr>
          <w:trHeight w:val="576"/>
          <w:jc w:val="center"/>
        </w:trPr>
        <w:tc>
          <w:tcPr>
            <w:tcW w:w="8617" w:type="dxa"/>
            <w:tcBorders>
              <w:top w:val="double" w:sz="4" w:space="0" w:color="ED7D31" w:themeColor="accent2"/>
              <w:bottom w:val="single" w:sz="12" w:space="0" w:color="ED7D31" w:themeColor="accent2"/>
            </w:tcBorders>
            <w:shd w:val="clear" w:color="auto" w:fill="FF9900"/>
            <w:vAlign w:val="center"/>
          </w:tcPr>
          <w:p w14:paraId="2FF61B28" w14:textId="77777777" w:rsidR="00636343" w:rsidRDefault="00636343" w:rsidP="00B96F78">
            <w:pPr>
              <w:spacing w:before="0" w:after="0" w:line="240" w:lineRule="auto"/>
              <w:jc w:val="center"/>
              <w:rPr>
                <w:b/>
                <w:bCs/>
                <w:color w:val="E2EFD9" w:themeColor="accent6" w:themeTint="33"/>
              </w:rPr>
            </w:pPr>
            <w:r>
              <w:rPr>
                <w:b/>
                <w:bCs/>
                <w:color w:val="E2EFD9" w:themeColor="accent6" w:themeTint="33"/>
              </w:rPr>
              <w:t>Ligne de commandes</w:t>
            </w:r>
          </w:p>
        </w:tc>
      </w:tr>
      <w:tr w:rsidR="008B093D" w:rsidRPr="008B093D" w14:paraId="4795744C" w14:textId="77777777" w:rsidTr="008B093D">
        <w:trPr>
          <w:jc w:val="center"/>
        </w:trPr>
        <w:tc>
          <w:tcPr>
            <w:tcW w:w="8617" w:type="dxa"/>
            <w:tcBorders>
              <w:top w:val="single" w:sz="12" w:space="0" w:color="ED7D31" w:themeColor="accent2"/>
              <w:bottom w:val="double" w:sz="4" w:space="0" w:color="ED7D31" w:themeColor="accent2"/>
            </w:tcBorders>
            <w:shd w:val="clear" w:color="auto" w:fill="3366CC"/>
          </w:tcPr>
          <w:p w14:paraId="39031DA7" w14:textId="04480D31" w:rsidR="00636343" w:rsidRPr="00F25253" w:rsidRDefault="00CA5230" w:rsidP="00B96F78">
            <w:pPr>
              <w:pStyle w:val="Paragraphedeliste"/>
              <w:numPr>
                <w:ilvl w:val="0"/>
                <w:numId w:val="5"/>
              </w:numPr>
              <w:spacing w:line="276" w:lineRule="auto"/>
              <w:rPr>
                <w:color w:val="E2EFD9" w:themeColor="accent6" w:themeTint="33"/>
              </w:rPr>
            </w:pPr>
            <w:r w:rsidRPr="00F25253">
              <w:rPr>
                <w:color w:val="FFD54E"/>
              </w:rPr>
              <w:t>c</w:t>
            </w:r>
            <w:r w:rsidR="00636343" w:rsidRPr="00F25253">
              <w:rPr>
                <w:color w:val="FFD54E"/>
              </w:rPr>
              <w:t>reate [unique]</w:t>
            </w:r>
            <w:r w:rsidR="008B093D" w:rsidRPr="00F25253">
              <w:rPr>
                <w:color w:val="FFD54E"/>
              </w:rPr>
              <w:t xml:space="preserve"> </w:t>
            </w:r>
            <w:r w:rsidR="00636343" w:rsidRPr="00F25253">
              <w:rPr>
                <w:color w:val="FFD54E"/>
              </w:rPr>
              <w:t xml:space="preserve">index </w:t>
            </w:r>
            <w:r w:rsidR="00636343" w:rsidRPr="00F25253">
              <w:rPr>
                <w:color w:val="E2EFD9" w:themeColor="accent6" w:themeTint="33"/>
              </w:rPr>
              <w:t>&lt;nom_</w:t>
            </w:r>
            <w:r w:rsidR="008B093D" w:rsidRPr="00F25253">
              <w:rPr>
                <w:color w:val="E2EFD9" w:themeColor="accent6" w:themeTint="33"/>
              </w:rPr>
              <w:t>index</w:t>
            </w:r>
            <w:r w:rsidR="00636343" w:rsidRPr="00F25253">
              <w:rPr>
                <w:color w:val="E2EFD9" w:themeColor="accent6" w:themeTint="33"/>
              </w:rPr>
              <w:t xml:space="preserve">&gt; </w:t>
            </w:r>
            <w:r w:rsidR="008B093D" w:rsidRPr="00F25253">
              <w:rPr>
                <w:color w:val="FFD54E"/>
              </w:rPr>
              <w:t xml:space="preserve">on </w:t>
            </w:r>
            <w:r w:rsidR="008B093D" w:rsidRPr="00F25253">
              <w:rPr>
                <w:color w:val="FFFFFF" w:themeColor="background1"/>
              </w:rPr>
              <w:t>&lt;nom table&gt;</w:t>
            </w:r>
            <w:r w:rsidR="008B093D" w:rsidRPr="00F25253">
              <w:rPr>
                <w:color w:val="FFD54E"/>
              </w:rPr>
              <w:t xml:space="preserve"> </w:t>
            </w:r>
            <w:r w:rsidR="008B093D" w:rsidRPr="00F25253">
              <w:rPr>
                <w:color w:val="FFFFFF" w:themeColor="background1"/>
              </w:rPr>
              <w:t xml:space="preserve">&lt;nom colonne 1&gt; </w:t>
            </w:r>
            <w:r w:rsidR="008B093D" w:rsidRPr="00F25253">
              <w:rPr>
                <w:color w:val="FFD54E"/>
              </w:rPr>
              <w:t xml:space="preserve">[ASC/DESC] </w:t>
            </w:r>
            <w:r w:rsidR="008B093D" w:rsidRPr="00F25253">
              <w:rPr>
                <w:color w:val="FFFFFF" w:themeColor="background1"/>
              </w:rPr>
              <w:t>&lt;nom colonne2&gt;</w:t>
            </w:r>
          </w:p>
        </w:tc>
      </w:tr>
    </w:tbl>
    <w:p w14:paraId="48779E06" w14:textId="0F1F7A1A" w:rsidR="00636343" w:rsidRPr="008B093D" w:rsidRDefault="00636343"/>
    <w:p w14:paraId="3D0EA6CF" w14:textId="77777777" w:rsidR="0075642D" w:rsidRDefault="00000000">
      <w:pPr>
        <w:pStyle w:val="Titre2"/>
        <w:numPr>
          <w:ilvl w:val="0"/>
          <w:numId w:val="4"/>
        </w:numPr>
      </w:pPr>
      <w:r>
        <w:t>L’intégrité des données et les clés</w:t>
      </w:r>
    </w:p>
    <w:p w14:paraId="76221702" w14:textId="77777777" w:rsidR="0075642D" w:rsidRDefault="0075642D"/>
    <w:p w14:paraId="14D99054" w14:textId="77777777" w:rsidR="0075642D" w:rsidRDefault="00000000">
      <w:pPr>
        <w:pStyle w:val="Titre1"/>
        <w:numPr>
          <w:ilvl w:val="0"/>
          <w:numId w:val="2"/>
        </w:numPr>
      </w:pPr>
      <w:bookmarkStart w:id="3" w:name="_Toc175589264"/>
      <w:r>
        <w:t>Les fonctions</w:t>
      </w:r>
      <w:bookmarkEnd w:id="3"/>
    </w:p>
    <w:p w14:paraId="7982AFDE" w14:textId="77777777" w:rsidR="0075642D" w:rsidRDefault="00000000">
      <w:pPr>
        <w:pStyle w:val="Titre1"/>
        <w:numPr>
          <w:ilvl w:val="0"/>
          <w:numId w:val="2"/>
        </w:numPr>
      </w:pPr>
      <w:bookmarkStart w:id="4" w:name="_Toc175589265"/>
      <w:r>
        <w:t>Le contrôle des transactions</w:t>
      </w:r>
      <w:bookmarkEnd w:id="4"/>
    </w:p>
    <w:p w14:paraId="25A1D12F" w14:textId="77777777" w:rsidR="0075642D" w:rsidRDefault="00000000">
      <w:pPr>
        <w:pStyle w:val="Titre1"/>
        <w:numPr>
          <w:ilvl w:val="0"/>
          <w:numId w:val="2"/>
        </w:numPr>
      </w:pPr>
      <w:bookmarkStart w:id="5" w:name="_Toc175589266"/>
      <w:r>
        <w:t>Approfondissement</w:t>
      </w:r>
      <w:bookmarkEnd w:id="5"/>
    </w:p>
    <w:p w14:paraId="4BE2C387" w14:textId="77777777" w:rsidR="0075642D" w:rsidRDefault="0075642D"/>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5AABB497" w14:textId="77777777">
        <w:trPr>
          <w:trHeight w:val="576"/>
          <w:jc w:val="center"/>
        </w:trPr>
        <w:tc>
          <w:tcPr>
            <w:tcW w:w="7370" w:type="dxa"/>
            <w:tcBorders>
              <w:top w:val="double" w:sz="4" w:space="0" w:color="ED7D31" w:themeColor="accent2"/>
              <w:bottom w:val="single" w:sz="12" w:space="0" w:color="ED7D31" w:themeColor="accent2"/>
            </w:tcBorders>
            <w:shd w:val="clear" w:color="auto" w:fill="833C0B" w:themeFill="accent2" w:themeFillShade="80"/>
            <w:vAlign w:val="center"/>
          </w:tcPr>
          <w:p w14:paraId="5573E882" w14:textId="77777777" w:rsidR="0075642D" w:rsidRDefault="00000000">
            <w:pPr>
              <w:spacing w:before="0" w:after="0" w:line="240" w:lineRule="auto"/>
              <w:jc w:val="center"/>
              <w:rPr>
                <w:color w:val="E2EFD9" w:themeColor="accent6" w:themeTint="33"/>
              </w:rPr>
            </w:pPr>
            <w:r>
              <w:rPr>
                <w:color w:val="E2EFD9" w:themeColor="accent6" w:themeTint="33"/>
              </w:rPr>
              <w:lastRenderedPageBreak/>
              <w:t>Ligne de commandes</w:t>
            </w:r>
          </w:p>
        </w:tc>
      </w:tr>
      <w:tr w:rsidR="0075642D" w:rsidRPr="00F14E1D" w14:paraId="3590F5FB" w14:textId="77777777">
        <w:trPr>
          <w:jc w:val="center"/>
        </w:trPr>
        <w:tc>
          <w:tcPr>
            <w:tcW w:w="7370" w:type="dxa"/>
            <w:tcBorders>
              <w:top w:val="single" w:sz="12" w:space="0" w:color="ED7D31" w:themeColor="accent2"/>
              <w:bottom w:val="double" w:sz="4" w:space="0" w:color="ED7D31" w:themeColor="accent2"/>
            </w:tcBorders>
            <w:shd w:val="clear" w:color="auto" w:fill="1F3864" w:themeFill="accent1" w:themeFillShade="80"/>
          </w:tcPr>
          <w:p w14:paraId="083BFE3E"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sudo apt update</w:t>
            </w:r>
          </w:p>
          <w:p w14:paraId="00954DE5" w14:textId="77777777" w:rsidR="0075642D" w:rsidRDefault="00000000">
            <w:pPr>
              <w:pStyle w:val="Paragraphedeliste"/>
              <w:numPr>
                <w:ilvl w:val="0"/>
                <w:numId w:val="6"/>
              </w:numPr>
              <w:spacing w:line="276" w:lineRule="auto"/>
              <w:rPr>
                <w:color w:val="E2EFD9" w:themeColor="accent6" w:themeTint="33"/>
              </w:rPr>
            </w:pPr>
            <w:r>
              <w:rPr>
                <w:color w:val="E2EFD9" w:themeColor="accent6" w:themeTint="33"/>
              </w:rPr>
              <w:t>sudo apt install mysql-server</w:t>
            </w:r>
          </w:p>
          <w:p w14:paraId="7AD9F499"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systemctl start mysql / service mysql start</w:t>
            </w:r>
          </w:p>
          <w:p w14:paraId="16898A72" w14:textId="77777777" w:rsidR="0075642D" w:rsidRDefault="00000000">
            <w:pPr>
              <w:pStyle w:val="Paragraphedeliste"/>
              <w:numPr>
                <w:ilvl w:val="0"/>
                <w:numId w:val="6"/>
              </w:numPr>
              <w:spacing w:line="276" w:lineRule="auto"/>
              <w:rPr>
                <w:color w:val="E2EFD9" w:themeColor="accent6" w:themeTint="33"/>
                <w:lang w:val="en-GB"/>
              </w:rPr>
            </w:pPr>
            <w:r>
              <w:rPr>
                <w:color w:val="E2EFD9" w:themeColor="accent6" w:themeTint="33"/>
                <w:lang w:val="en-GB"/>
              </w:rPr>
              <w:t>systemctl stop mysql / service mysql stop</w:t>
            </w:r>
          </w:p>
        </w:tc>
      </w:tr>
      <w:bookmarkEnd w:id="0"/>
    </w:tbl>
    <w:p w14:paraId="15396B5D" w14:textId="77777777" w:rsidR="0075642D" w:rsidRDefault="0075642D">
      <w:pPr>
        <w:rPr>
          <w:lang w:val="en-GB"/>
        </w:rPr>
      </w:pPr>
    </w:p>
    <w:sectPr w:rsidR="0075642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77739" w14:textId="77777777" w:rsidR="002F2ECC" w:rsidRDefault="002F2ECC">
      <w:pPr>
        <w:spacing w:line="240" w:lineRule="auto"/>
      </w:pPr>
      <w:r>
        <w:separator/>
      </w:r>
    </w:p>
  </w:endnote>
  <w:endnote w:type="continuationSeparator" w:id="0">
    <w:p w14:paraId="19EBAD8A" w14:textId="77777777" w:rsidR="002F2ECC" w:rsidRDefault="002F2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9819" w14:textId="77777777" w:rsidR="0075642D"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00819FB3" w14:textId="77777777" w:rsidR="0075642D" w:rsidRDefault="00756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65662" w14:textId="77777777" w:rsidR="002F2ECC" w:rsidRDefault="002F2ECC">
      <w:pPr>
        <w:spacing w:before="0" w:after="0"/>
      </w:pPr>
      <w:r>
        <w:separator/>
      </w:r>
    </w:p>
  </w:footnote>
  <w:footnote w:type="continuationSeparator" w:id="0">
    <w:p w14:paraId="567C2894" w14:textId="77777777" w:rsidR="002F2ECC" w:rsidRDefault="002F2EC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7542" w14:textId="77777777" w:rsidR="0075642D" w:rsidRDefault="00000000">
    <w:pPr>
      <w:pStyle w:val="En-tte"/>
      <w:jc w:val="center"/>
      <w:rPr>
        <w:color w:val="ED7D31" w:themeColor="accent2"/>
      </w:rPr>
    </w:pPr>
    <w:r>
      <w:rPr>
        <w:noProof/>
        <w:color w:val="ED7D31" w:themeColor="accent2"/>
      </w:rPr>
      <mc:AlternateContent>
        <mc:Choice Requires="wps">
          <w:drawing>
            <wp:anchor distT="0" distB="0" distL="114300" distR="114300" simplePos="0" relativeHeight="251659264" behindDoc="0" locked="0" layoutInCell="1" allowOverlap="1" wp14:anchorId="0F98E67F" wp14:editId="77CF5616">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42E"/>
    <w:multiLevelType w:val="multilevel"/>
    <w:tmpl w:val="69124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3C6BC3"/>
    <w:multiLevelType w:val="hybridMultilevel"/>
    <w:tmpl w:val="356611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0313F0"/>
    <w:multiLevelType w:val="hybridMultilevel"/>
    <w:tmpl w:val="202A3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0F1F8A"/>
    <w:multiLevelType w:val="hybridMultilevel"/>
    <w:tmpl w:val="677214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7056DB"/>
    <w:multiLevelType w:val="multilevel"/>
    <w:tmpl w:val="297056DB"/>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834BB2"/>
    <w:multiLevelType w:val="hybridMultilevel"/>
    <w:tmpl w:val="755CD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EE3D6B"/>
    <w:multiLevelType w:val="hybridMultilevel"/>
    <w:tmpl w:val="04E40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82484006">
    <w:abstractNumId w:val="9"/>
  </w:num>
  <w:num w:numId="2" w16cid:durableId="2062052136">
    <w:abstractNumId w:val="5"/>
  </w:num>
  <w:num w:numId="3" w16cid:durableId="1015305315">
    <w:abstractNumId w:val="10"/>
  </w:num>
  <w:num w:numId="4" w16cid:durableId="1462267280">
    <w:abstractNumId w:val="7"/>
  </w:num>
  <w:num w:numId="5" w16cid:durableId="894967210">
    <w:abstractNumId w:val="11"/>
  </w:num>
  <w:num w:numId="6" w16cid:durableId="375130388">
    <w:abstractNumId w:val="1"/>
  </w:num>
  <w:num w:numId="7" w16cid:durableId="1127242528">
    <w:abstractNumId w:val="3"/>
  </w:num>
  <w:num w:numId="8" w16cid:durableId="522131322">
    <w:abstractNumId w:val="8"/>
  </w:num>
  <w:num w:numId="9" w16cid:durableId="450826010">
    <w:abstractNumId w:val="0"/>
  </w:num>
  <w:num w:numId="10" w16cid:durableId="445733274">
    <w:abstractNumId w:val="6"/>
  </w:num>
  <w:num w:numId="11" w16cid:durableId="1065840877">
    <w:abstractNumId w:val="2"/>
  </w:num>
  <w:num w:numId="12" w16cid:durableId="13858363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304DB"/>
    <w:rsid w:val="00043EB3"/>
    <w:rsid w:val="0005244E"/>
    <w:rsid w:val="00071968"/>
    <w:rsid w:val="0007356E"/>
    <w:rsid w:val="000856F0"/>
    <w:rsid w:val="0008653E"/>
    <w:rsid w:val="000C31A6"/>
    <w:rsid w:val="000C570E"/>
    <w:rsid w:val="000C6E5D"/>
    <w:rsid w:val="000F0E8E"/>
    <w:rsid w:val="0010589E"/>
    <w:rsid w:val="00140B48"/>
    <w:rsid w:val="00143498"/>
    <w:rsid w:val="00147123"/>
    <w:rsid w:val="00147425"/>
    <w:rsid w:val="001507DF"/>
    <w:rsid w:val="001668EA"/>
    <w:rsid w:val="00167196"/>
    <w:rsid w:val="001757C4"/>
    <w:rsid w:val="001814B6"/>
    <w:rsid w:val="00185964"/>
    <w:rsid w:val="001933C1"/>
    <w:rsid w:val="001A63FE"/>
    <w:rsid w:val="001A77BB"/>
    <w:rsid w:val="001B0157"/>
    <w:rsid w:val="001C22CA"/>
    <w:rsid w:val="001C78F1"/>
    <w:rsid w:val="001F7CC4"/>
    <w:rsid w:val="002063E7"/>
    <w:rsid w:val="00215510"/>
    <w:rsid w:val="00233861"/>
    <w:rsid w:val="00234313"/>
    <w:rsid w:val="002457AE"/>
    <w:rsid w:val="00251024"/>
    <w:rsid w:val="00265867"/>
    <w:rsid w:val="00283C6D"/>
    <w:rsid w:val="00290A10"/>
    <w:rsid w:val="00295412"/>
    <w:rsid w:val="002A15B2"/>
    <w:rsid w:val="002C032E"/>
    <w:rsid w:val="002C5227"/>
    <w:rsid w:val="002D0B50"/>
    <w:rsid w:val="002E4EA5"/>
    <w:rsid w:val="002E54D4"/>
    <w:rsid w:val="002F10DC"/>
    <w:rsid w:val="002F2ECC"/>
    <w:rsid w:val="002F41FF"/>
    <w:rsid w:val="00300EB1"/>
    <w:rsid w:val="00312AE4"/>
    <w:rsid w:val="00312C11"/>
    <w:rsid w:val="00315764"/>
    <w:rsid w:val="0031751C"/>
    <w:rsid w:val="00321C68"/>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11C00"/>
    <w:rsid w:val="0042476C"/>
    <w:rsid w:val="00434BE8"/>
    <w:rsid w:val="00440B73"/>
    <w:rsid w:val="00450DC6"/>
    <w:rsid w:val="0046211B"/>
    <w:rsid w:val="00473579"/>
    <w:rsid w:val="004A3DEB"/>
    <w:rsid w:val="004A791C"/>
    <w:rsid w:val="004A7F9D"/>
    <w:rsid w:val="004B420C"/>
    <w:rsid w:val="004B5B68"/>
    <w:rsid w:val="004C028B"/>
    <w:rsid w:val="004C1E22"/>
    <w:rsid w:val="004C3FF4"/>
    <w:rsid w:val="004D1D55"/>
    <w:rsid w:val="004D3A83"/>
    <w:rsid w:val="004E08AE"/>
    <w:rsid w:val="004E12FF"/>
    <w:rsid w:val="00501F3E"/>
    <w:rsid w:val="00502800"/>
    <w:rsid w:val="00503369"/>
    <w:rsid w:val="00503462"/>
    <w:rsid w:val="0050433B"/>
    <w:rsid w:val="00515F59"/>
    <w:rsid w:val="0053353A"/>
    <w:rsid w:val="0053561A"/>
    <w:rsid w:val="00553655"/>
    <w:rsid w:val="0056442E"/>
    <w:rsid w:val="0058210F"/>
    <w:rsid w:val="00592E86"/>
    <w:rsid w:val="00594D27"/>
    <w:rsid w:val="005B2362"/>
    <w:rsid w:val="005B2A0D"/>
    <w:rsid w:val="005B3B5F"/>
    <w:rsid w:val="005B6DB6"/>
    <w:rsid w:val="005E4D02"/>
    <w:rsid w:val="005F0FB2"/>
    <w:rsid w:val="005F600C"/>
    <w:rsid w:val="005F7C9D"/>
    <w:rsid w:val="006037F7"/>
    <w:rsid w:val="00612FEA"/>
    <w:rsid w:val="006161BD"/>
    <w:rsid w:val="00616C83"/>
    <w:rsid w:val="00623A6D"/>
    <w:rsid w:val="006262AF"/>
    <w:rsid w:val="00630D30"/>
    <w:rsid w:val="00636343"/>
    <w:rsid w:val="0064039F"/>
    <w:rsid w:val="00640F38"/>
    <w:rsid w:val="0064273C"/>
    <w:rsid w:val="00654C65"/>
    <w:rsid w:val="0066504B"/>
    <w:rsid w:val="00672C02"/>
    <w:rsid w:val="006801DA"/>
    <w:rsid w:val="00690AC7"/>
    <w:rsid w:val="00691B74"/>
    <w:rsid w:val="006B4520"/>
    <w:rsid w:val="006B64CF"/>
    <w:rsid w:val="006C28A9"/>
    <w:rsid w:val="006C68EC"/>
    <w:rsid w:val="006D154A"/>
    <w:rsid w:val="006D2FBC"/>
    <w:rsid w:val="006E78A9"/>
    <w:rsid w:val="006F3214"/>
    <w:rsid w:val="006F377E"/>
    <w:rsid w:val="006F511F"/>
    <w:rsid w:val="0070036D"/>
    <w:rsid w:val="00723E30"/>
    <w:rsid w:val="00732B2C"/>
    <w:rsid w:val="00747720"/>
    <w:rsid w:val="00747A87"/>
    <w:rsid w:val="00752645"/>
    <w:rsid w:val="0075336F"/>
    <w:rsid w:val="0075642D"/>
    <w:rsid w:val="007609F7"/>
    <w:rsid w:val="00760ED3"/>
    <w:rsid w:val="00761E23"/>
    <w:rsid w:val="007715B2"/>
    <w:rsid w:val="00771B2F"/>
    <w:rsid w:val="0077246E"/>
    <w:rsid w:val="00777AEF"/>
    <w:rsid w:val="007A15C2"/>
    <w:rsid w:val="007C06DB"/>
    <w:rsid w:val="00801438"/>
    <w:rsid w:val="00803EEB"/>
    <w:rsid w:val="00803F38"/>
    <w:rsid w:val="00804F35"/>
    <w:rsid w:val="008145C8"/>
    <w:rsid w:val="008343E4"/>
    <w:rsid w:val="008557AC"/>
    <w:rsid w:val="008570A2"/>
    <w:rsid w:val="00871904"/>
    <w:rsid w:val="00884206"/>
    <w:rsid w:val="008A4EFE"/>
    <w:rsid w:val="008B093D"/>
    <w:rsid w:val="008B4AC2"/>
    <w:rsid w:val="008C25E0"/>
    <w:rsid w:val="008C46F5"/>
    <w:rsid w:val="008C55C5"/>
    <w:rsid w:val="008D3E54"/>
    <w:rsid w:val="008E2FAC"/>
    <w:rsid w:val="008F0CE6"/>
    <w:rsid w:val="008F0FA0"/>
    <w:rsid w:val="008F3FEC"/>
    <w:rsid w:val="0091111D"/>
    <w:rsid w:val="00912DEB"/>
    <w:rsid w:val="00922239"/>
    <w:rsid w:val="00930AAC"/>
    <w:rsid w:val="00931E00"/>
    <w:rsid w:val="00935065"/>
    <w:rsid w:val="00940009"/>
    <w:rsid w:val="00940C29"/>
    <w:rsid w:val="009653D6"/>
    <w:rsid w:val="00991E33"/>
    <w:rsid w:val="009B355A"/>
    <w:rsid w:val="009B50D9"/>
    <w:rsid w:val="009C5F9B"/>
    <w:rsid w:val="009D27C4"/>
    <w:rsid w:val="009D32B7"/>
    <w:rsid w:val="00A5280D"/>
    <w:rsid w:val="00A55B51"/>
    <w:rsid w:val="00A5791D"/>
    <w:rsid w:val="00A63ACC"/>
    <w:rsid w:val="00A679E7"/>
    <w:rsid w:val="00A73A08"/>
    <w:rsid w:val="00A818A9"/>
    <w:rsid w:val="00A9180B"/>
    <w:rsid w:val="00A9480D"/>
    <w:rsid w:val="00AB62D6"/>
    <w:rsid w:val="00AE66E8"/>
    <w:rsid w:val="00AF3273"/>
    <w:rsid w:val="00AF5B2B"/>
    <w:rsid w:val="00AF5D7B"/>
    <w:rsid w:val="00B070F1"/>
    <w:rsid w:val="00B0745C"/>
    <w:rsid w:val="00B37285"/>
    <w:rsid w:val="00B431F9"/>
    <w:rsid w:val="00B47E00"/>
    <w:rsid w:val="00B5416F"/>
    <w:rsid w:val="00B67881"/>
    <w:rsid w:val="00B84028"/>
    <w:rsid w:val="00B92D7E"/>
    <w:rsid w:val="00BA2CE4"/>
    <w:rsid w:val="00BA42CA"/>
    <w:rsid w:val="00BC54B8"/>
    <w:rsid w:val="00BD10CA"/>
    <w:rsid w:val="00BD1E59"/>
    <w:rsid w:val="00BD2AF3"/>
    <w:rsid w:val="00BD4603"/>
    <w:rsid w:val="00BD4B12"/>
    <w:rsid w:val="00BE2292"/>
    <w:rsid w:val="00BF7F9E"/>
    <w:rsid w:val="00C00C1D"/>
    <w:rsid w:val="00C036A8"/>
    <w:rsid w:val="00C04270"/>
    <w:rsid w:val="00C0490C"/>
    <w:rsid w:val="00C124BE"/>
    <w:rsid w:val="00C16399"/>
    <w:rsid w:val="00C258FD"/>
    <w:rsid w:val="00C266E9"/>
    <w:rsid w:val="00C423BB"/>
    <w:rsid w:val="00C536EB"/>
    <w:rsid w:val="00C60FCC"/>
    <w:rsid w:val="00C70B93"/>
    <w:rsid w:val="00C71BEC"/>
    <w:rsid w:val="00C830F5"/>
    <w:rsid w:val="00C87BBD"/>
    <w:rsid w:val="00C95EEA"/>
    <w:rsid w:val="00CA5230"/>
    <w:rsid w:val="00CA757F"/>
    <w:rsid w:val="00CB025C"/>
    <w:rsid w:val="00CB6905"/>
    <w:rsid w:val="00CC71A2"/>
    <w:rsid w:val="00CE1717"/>
    <w:rsid w:val="00CE18FC"/>
    <w:rsid w:val="00CE1BEE"/>
    <w:rsid w:val="00CE255B"/>
    <w:rsid w:val="00CE4F61"/>
    <w:rsid w:val="00CF3F63"/>
    <w:rsid w:val="00D164D5"/>
    <w:rsid w:val="00D45FB2"/>
    <w:rsid w:val="00D50862"/>
    <w:rsid w:val="00D571E4"/>
    <w:rsid w:val="00D70810"/>
    <w:rsid w:val="00D751BE"/>
    <w:rsid w:val="00DB1272"/>
    <w:rsid w:val="00DB6907"/>
    <w:rsid w:val="00DD4972"/>
    <w:rsid w:val="00DF7E5C"/>
    <w:rsid w:val="00E0557D"/>
    <w:rsid w:val="00E12A59"/>
    <w:rsid w:val="00E211AA"/>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64D0"/>
    <w:rsid w:val="00EF1086"/>
    <w:rsid w:val="00EF656D"/>
    <w:rsid w:val="00EF6F39"/>
    <w:rsid w:val="00F040A4"/>
    <w:rsid w:val="00F14E1D"/>
    <w:rsid w:val="00F25253"/>
    <w:rsid w:val="00F311B5"/>
    <w:rsid w:val="00F32AA1"/>
    <w:rsid w:val="00F37E39"/>
    <w:rsid w:val="00F37ED0"/>
    <w:rsid w:val="00F423C8"/>
    <w:rsid w:val="00F45097"/>
    <w:rsid w:val="00F5636C"/>
    <w:rsid w:val="00F8041A"/>
    <w:rsid w:val="00F80CB4"/>
    <w:rsid w:val="00F869E5"/>
    <w:rsid w:val="00FA0818"/>
    <w:rsid w:val="00FA2565"/>
    <w:rsid w:val="00FB7C8C"/>
    <w:rsid w:val="00FC2946"/>
    <w:rsid w:val="00FC38A1"/>
    <w:rsid w:val="00FE2E98"/>
    <w:rsid w:val="00FE331E"/>
    <w:rsid w:val="00FE4BE5"/>
    <w:rsid w:val="00FF3C80"/>
    <w:rsid w:val="00FF67CB"/>
    <w:rsid w:val="3CF72B22"/>
    <w:rsid w:val="4DB67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210E"/>
  <w15:docId w15:val="{33FB583E-90AF-4BC5-9A90-CA6D567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321C68"/>
    <w:pPr>
      <w:keepNext/>
      <w:keepLines/>
      <w:spacing w:before="40" w:after="0"/>
      <w:outlineLvl w:val="2"/>
    </w:pPr>
    <w:rPr>
      <w:rFonts w:eastAsiaTheme="majorEastAsia" w:cstheme="majorBidi"/>
      <w:color w:val="00CCF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321C68"/>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13</Pages>
  <Words>3529</Words>
  <Characters>19413</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Aboubakar KONE</dc:creator>
  <cp:lastModifiedBy>Aboubakar KONE</cp:lastModifiedBy>
  <cp:revision>97</cp:revision>
  <cp:lastPrinted>2024-08-31T16:18:00Z</cp:lastPrinted>
  <dcterms:created xsi:type="dcterms:W3CDTF">2024-07-31T20:56:00Z</dcterms:created>
  <dcterms:modified xsi:type="dcterms:W3CDTF">2024-08-31T16:18:00Z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