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7A1B29"/>
          <w:sz w:val="44"/>
        </w:rPr>
        <w:t>JOHMANN FORMATION</w:t>
        <w:br/>
      </w:r>
    </w:p>
    <w:p>
      <w:pPr>
        <w:spacing w:after="240"/>
        <w:jc w:val="center"/>
      </w:pPr>
      <w:r>
        <w:rPr>
          <w:rFonts w:ascii="Arial" w:hAnsi="Arial"/>
          <w:color w:val="64748B"/>
          <w:sz w:val="22"/>
        </w:rPr>
        <w:t>Cabinet de Formation Agréé par l'État à Grand-Lahou (Décision N° 2012-1425 / METFP / CAB / DEP)</w:t>
        <w:br/>
        <w:t>Plateforme de Gestion de la Scolarité, Évaluations en Ligne et Édition des Bulletins</w:t>
      </w:r>
    </w:p>
    <w:p>
      <w:pPr>
        <w:spacing w:after="480"/>
        <w:jc w:val="center"/>
      </w:pPr>
      <w:r>
        <w:rPr>
          <w:rFonts w:ascii="Arial" w:hAnsi="Arial"/>
          <w:b/>
          <w:color w:val="C59B27"/>
          <w:sz w:val="20"/>
        </w:rPr>
        <w:t>DOSSIER DE CONCEPTION UI/UX • PARCOURS UTILISATEURS &amp; SPÉCIFICATIONS DES ÉCRANS</w:t>
      </w:r>
    </w:p>
    <w:tbl>
      <w:tblPr>
        <w:tblW w:type="auto" w:w="0"/>
        <w:jc w:val="center"/>
        <w:tblLook w:firstColumn="1" w:firstRow="1" w:lastColumn="0" w:lastRow="0" w:noHBand="0" w:noVBand="1" w:val="04A0"/>
      </w:tblPr>
      <w:tblGrid>
        <w:gridCol w:w="3168"/>
        <w:gridCol w:w="6192"/>
      </w:tblGrid>
      <w:tr>
        <w:tc>
          <w:tcPr>
            <w:tcW w:type="dxa" w:w="4968"/>
            <w:shd w:fill="F1F5F9"/>
            <w:tcMar>
              <w:top w:w="80" w:type="dxa"/>
              <w:bottom w:w="80" w:type="dxa"/>
              <w:left w:w="120" w:type="dxa"/>
              <w:right w:w="120" w:type="dxa"/>
            </w:tcMar>
          </w:tcPr>
          <w:p>
            <w:pPr>
              <w:spacing w:before="40" w:after="40"/>
            </w:pPr>
            <w:r>
              <w:rPr>
                <w:rFonts w:ascii="Arial" w:hAnsi="Arial"/>
                <w:b/>
                <w:color w:val="0F172A"/>
                <w:sz w:val="19"/>
              </w:rPr>
              <w:t>Document :</w:t>
            </w:r>
          </w:p>
        </w:tc>
        <w:tc>
          <w:tcPr>
            <w:tcW w:type="dxa" w:w="4968"/>
            <w:shd w:fill="FFFFFF"/>
            <w:tcMar>
              <w:top w:w="80" w:type="dxa"/>
              <w:bottom w:w="80" w:type="dxa"/>
              <w:left w:w="120" w:type="dxa"/>
              <w:right w:w="120" w:type="dxa"/>
            </w:tcMar>
          </w:tcPr>
          <w:p>
            <w:pPr>
              <w:spacing w:before="40" w:after="40"/>
            </w:pPr>
            <w:r>
              <w:rPr>
                <w:rFonts w:ascii="Arial" w:hAnsi="Arial"/>
                <w:color w:val="334155"/>
                <w:sz w:val="19"/>
              </w:rPr>
              <w:t>Spécifications d'Expérience Utilisateur (UX) &amp; Design d'Interface (UI)</w:t>
            </w:r>
          </w:p>
        </w:tc>
      </w:tr>
      <w:tr>
        <w:tc>
          <w:tcPr>
            <w:tcW w:type="dxa" w:w="4968"/>
            <w:shd w:fill="F1F5F9"/>
            <w:tcMar>
              <w:top w:w="80" w:type="dxa"/>
              <w:bottom w:w="80" w:type="dxa"/>
              <w:left w:w="120" w:type="dxa"/>
              <w:right w:w="120" w:type="dxa"/>
            </w:tcMar>
          </w:tcPr>
          <w:p>
            <w:pPr>
              <w:spacing w:before="40" w:after="40"/>
            </w:pPr>
            <w:r>
              <w:rPr>
                <w:rFonts w:ascii="Arial" w:hAnsi="Arial"/>
                <w:b/>
                <w:color w:val="0F172A"/>
                <w:sz w:val="19"/>
              </w:rPr>
              <w:t>Direction Artistique :</w:t>
            </w:r>
          </w:p>
        </w:tc>
        <w:tc>
          <w:tcPr>
            <w:tcW w:type="dxa" w:w="4968"/>
            <w:shd w:fill="FFFFFF"/>
            <w:tcMar>
              <w:top w:w="80" w:type="dxa"/>
              <w:bottom w:w="80" w:type="dxa"/>
              <w:left w:w="120" w:type="dxa"/>
              <w:right w:w="120" w:type="dxa"/>
            </w:tcMar>
          </w:tcPr>
          <w:p>
            <w:pPr>
              <w:spacing w:before="40" w:after="40"/>
            </w:pPr>
            <w:r>
              <w:rPr>
                <w:rFonts w:ascii="Arial" w:hAnsi="Arial"/>
                <w:color w:val="334155"/>
                <w:sz w:val="19"/>
              </w:rPr>
              <w:t>Design Épuré Blanc Dominant, Bordeaux Noble (#7A1B29) &amp; Or (#C59B27)</w:t>
            </w:r>
          </w:p>
        </w:tc>
      </w:tr>
      <w:tr>
        <w:tc>
          <w:tcPr>
            <w:tcW w:type="dxa" w:w="4968"/>
            <w:shd w:fill="F1F5F9"/>
            <w:tcMar>
              <w:top w:w="80" w:type="dxa"/>
              <w:bottom w:w="80" w:type="dxa"/>
              <w:left w:w="120" w:type="dxa"/>
              <w:right w:w="120" w:type="dxa"/>
            </w:tcMar>
          </w:tcPr>
          <w:p>
            <w:pPr>
              <w:spacing w:before="40" w:after="40"/>
            </w:pPr>
            <w:r>
              <w:rPr>
                <w:rFonts w:ascii="Arial" w:hAnsi="Arial"/>
                <w:b/>
                <w:color w:val="0F172A"/>
                <w:sz w:val="19"/>
              </w:rPr>
              <w:t>Espaces Applicatifs :</w:t>
            </w:r>
          </w:p>
        </w:tc>
        <w:tc>
          <w:tcPr>
            <w:tcW w:type="dxa" w:w="4968"/>
            <w:shd w:fill="FFFFFF"/>
            <w:tcMar>
              <w:top w:w="80" w:type="dxa"/>
              <w:bottom w:w="80" w:type="dxa"/>
              <w:left w:w="120" w:type="dxa"/>
              <w:right w:w="120" w:type="dxa"/>
            </w:tcMar>
          </w:tcPr>
          <w:p>
            <w:pPr>
              <w:spacing w:before="40" w:after="40"/>
            </w:pPr>
            <w:r>
              <w:rPr>
                <w:rFonts w:ascii="Arial" w:hAnsi="Arial"/>
                <w:color w:val="334155"/>
                <w:sz w:val="19"/>
              </w:rPr>
              <w:t>Administration Centrale, Studio Enseignant, Portail Étudiant</w:t>
            </w:r>
          </w:p>
        </w:tc>
      </w:tr>
      <w:tr>
        <w:tc>
          <w:tcPr>
            <w:tcW w:type="dxa" w:w="4968"/>
            <w:shd w:fill="F1F5F9"/>
            <w:tcMar>
              <w:top w:w="80" w:type="dxa"/>
              <w:bottom w:w="80" w:type="dxa"/>
              <w:left w:w="120" w:type="dxa"/>
              <w:right w:w="120" w:type="dxa"/>
            </w:tcMar>
          </w:tcPr>
          <w:p>
            <w:pPr>
              <w:spacing w:before="40" w:after="40"/>
            </w:pPr>
            <w:r>
              <w:rPr>
                <w:rFonts w:ascii="Arial" w:hAnsi="Arial"/>
                <w:b/>
                <w:color w:val="0F172A"/>
                <w:sz w:val="19"/>
              </w:rPr>
              <w:t>Technologies Cibles :</w:t>
            </w:r>
          </w:p>
        </w:tc>
        <w:tc>
          <w:tcPr>
            <w:tcW w:type="dxa" w:w="4968"/>
            <w:shd w:fill="FFFFFF"/>
            <w:tcMar>
              <w:top w:w="80" w:type="dxa"/>
              <w:bottom w:w="80" w:type="dxa"/>
              <w:left w:w="120" w:type="dxa"/>
              <w:right w:w="120" w:type="dxa"/>
            </w:tcMar>
          </w:tcPr>
          <w:p>
            <w:pPr>
              <w:spacing w:before="40" w:after="40"/>
            </w:pPr>
            <w:r>
              <w:rPr>
                <w:rFonts w:ascii="Arial" w:hAnsi="Arial"/>
                <w:color w:val="334155"/>
                <w:sz w:val="19"/>
              </w:rPr>
              <w:t>React 19, TypeScript, Vite 8, Tailwind CSS v4, PWA Offline, Clean Architecture</w:t>
            </w:r>
          </w:p>
        </w:tc>
      </w:tr>
    </w:tbl>
    <w:p>
      <w:r>
        <w:br w:type="page"/>
      </w:r>
    </w:p>
    <w:p>
      <w:pPr>
        <w:keepNext/>
        <w:spacing w:before="320" w:after="120"/>
      </w:pPr>
      <w:r>
        <w:rPr>
          <w:rFonts w:ascii="Arial" w:hAnsi="Arial"/>
          <w:b/>
          <w:color w:val="7A1B29"/>
          <w:sz w:val="30"/>
        </w:rPr>
        <w:t>1. Vision Stratégique &amp; Contexte Métier</w:t>
      </w:r>
    </w:p>
    <w:p>
      <w:pPr>
        <w:spacing w:after="160" w:line="276" w:lineRule="auto"/>
      </w:pPr>
      <w:r>
        <w:rPr>
          <w:rFonts w:ascii="Arial" w:hAnsi="Arial"/>
          <w:color w:val="334155"/>
          <w:sz w:val="20"/>
        </w:rPr>
        <w:t>Le présent document définit l'intégralité du parcours utilisateur (UX) et des spécifications d'interfaces (UI) pour la plateforme web et Progressive Web App (PWA) de Johmann Formation. Établissement privé agréé par l'État de Côte d'Ivoire sous la décision N° 2012-1425 / METFP / CAB / DEP et situé à Grand-Lahou, Johmann Formation dispense des formations professionnelles de référence (Aide-Soignante, Auxiliaire en Pharmacie, Caissière spécialisée, etc.).</w:t>
        <w:br/>
        <w:br/>
        <w:t>L'objectif de cette plateforme est d'éradiquer la gestion manuelle sur fichiers Excel fragmentés, la précarité des encaissements sans reçus officiels, la lourdeur des publipostages Word pour les bulletins, et d'instaurer une infrastructure numérique ultra-fluide, 100% traçable et réactive hors-ligne.</w:t>
      </w:r>
    </w:p>
    <w:tbl>
      <w:tblPr>
        <w:tblW w:type="auto" w:w="0"/>
        <w:jc w:val="center"/>
        <w:tblLayout w:type="fixed"/>
        <w:tblLook w:firstColumn="1" w:firstRow="1" w:lastColumn="0" w:lastRow="0" w:noHBand="0" w:noVBand="1" w:val="04A0"/>
      </w:tblPr>
      <w:tblGrid>
        <w:gridCol w:w="9360"/>
      </w:tblGrid>
      <w:tr>
        <w:tc>
          <w:tcPr>
            <w:tcW w:type="dxa" w:w="9936"/>
            <w:shd w:fill="F8FAFC"/>
            <w:tcMar>
              <w:top w:w="160" w:type="dxa"/>
              <w:bottom w:w="160" w:type="dxa"/>
              <w:left w:w="240" w:type="dxa"/>
              <w:right w:w="200" w:type="dxa"/>
            </w:tcMar>
            <w:tcBorders>
              <w:top w:val="none"/>
              <w:left w:val="single" w:sz="36" w:space="0" w:color="7A1B29"/>
              <w:bottom w:val="none"/>
              <w:right w:val="none"/>
            </w:tcBorders>
          </w:tcPr>
          <w:p>
            <w:pPr>
              <w:spacing w:before="0" w:after="80"/>
            </w:pPr>
            <w:r>
              <w:rPr>
                <w:rFonts w:ascii="Arial" w:hAnsi="Arial"/>
                <w:b/>
                <w:color w:val="7A1B29"/>
                <w:sz w:val="21"/>
              </w:rPr>
              <w:t>📌 Le Défi UX d'Adoption en Côte d'Ivoire</w:t>
              <w:br/>
            </w:r>
            <w:r>
              <w:rPr>
                <w:rFonts w:ascii="Arial" w:hAnsi="Arial"/>
                <w:color w:val="334155"/>
                <w:sz w:val="19"/>
              </w:rPr>
              <w:t>L'application est conçue selon le paradigme 'Mobile-First' et 'Offline-First' (PWA) pour répondre aux réalités du terrain ivoirien : réseau mobile parfois fluctuant, multiplicité des smartphones étudiants, et nécessité absolue de ne perdre aucune composition en cas d'interruption temporaire de connexion internet.</w:t>
            </w:r>
          </w:p>
        </w:tc>
      </w:tr>
    </w:tbl>
    <w:p>
      <w:pPr>
        <w:spacing w:after="120"/>
      </w:pPr>
    </w:p>
    <w:p>
      <w:pPr>
        <w:keepNext/>
        <w:spacing w:before="320" w:after="120"/>
      </w:pPr>
      <w:r>
        <w:rPr>
          <w:rFonts w:ascii="Arial" w:hAnsi="Arial"/>
          <w:b/>
          <w:color w:val="7A1B29"/>
          <w:sz w:val="30"/>
        </w:rPr>
        <w:t>2. Charte Graphique &amp; Direction Artistique UI/UX</w:t>
      </w:r>
    </w:p>
    <w:p>
      <w:pPr>
        <w:spacing w:after="160"/>
      </w:pPr>
      <w:r>
        <w:rPr>
          <w:rFonts w:ascii="Arial" w:hAnsi="Arial"/>
          <w:sz w:val="20"/>
        </w:rPr>
        <w:t>Afin de garantir un rendu réaliste, statutaire et reposant, la direction artistique rompt avec les dégradés agressifs. Le BLANC pur et lumineux domine l'ensemble des interfaces (85% de la surface visuelle), sublimé par les couleurs officielles extraites du logo authentique de Johmann Formation :</w:t>
      </w:r>
    </w:p>
    <w:tbl>
      <w:tblPr>
        <w:tblW w:type="auto" w:w="0"/>
        <w:jc w:val="center"/>
        <w:tblLook w:firstColumn="1" w:firstRow="1" w:lastColumn="0" w:lastRow="0" w:noHBand="0" w:noVBand="1" w:val="04A0"/>
      </w:tblPr>
      <w:tblGrid>
        <w:gridCol w:w="2160"/>
        <w:gridCol w:w="1728"/>
        <w:gridCol w:w="5472"/>
      </w:tblGrid>
      <w:tr>
        <w:tc>
          <w:tcPr>
            <w:tcW w:type="dxa" w:w="3312"/>
            <w:shd w:fill="7A1B29"/>
            <w:tcMar>
              <w:top w:w="100" w:type="dxa"/>
              <w:bottom w:w="100" w:type="dxa"/>
              <w:left w:w="120" w:type="dxa"/>
              <w:right w:w="120" w:type="dxa"/>
            </w:tcMar>
          </w:tcPr>
          <w:p>
            <w:r>
              <w:rPr>
                <w:rFonts w:ascii="Arial" w:hAnsi="Arial"/>
                <w:b/>
                <w:color w:val="FFFFFF"/>
                <w:sz w:val="19"/>
              </w:rPr>
              <w:t>Couleur</w:t>
            </w:r>
          </w:p>
        </w:tc>
        <w:tc>
          <w:tcPr>
            <w:tcW w:type="dxa" w:w="3312"/>
            <w:shd w:fill="7A1B29"/>
            <w:tcMar>
              <w:top w:w="100" w:type="dxa"/>
              <w:bottom w:w="100" w:type="dxa"/>
              <w:left w:w="120" w:type="dxa"/>
              <w:right w:w="120" w:type="dxa"/>
            </w:tcMar>
          </w:tcPr>
          <w:p>
            <w:r>
              <w:rPr>
                <w:rFonts w:ascii="Arial" w:hAnsi="Arial"/>
                <w:b/>
                <w:color w:val="FFFFFF"/>
                <w:sz w:val="19"/>
              </w:rPr>
              <w:t>Code Hex</w:t>
            </w:r>
          </w:p>
        </w:tc>
        <w:tc>
          <w:tcPr>
            <w:tcW w:type="dxa" w:w="3312"/>
            <w:shd w:fill="7A1B29"/>
            <w:tcMar>
              <w:top w:w="100" w:type="dxa"/>
              <w:bottom w:w="100" w:type="dxa"/>
              <w:left w:w="120" w:type="dxa"/>
              <w:right w:w="120" w:type="dxa"/>
            </w:tcMar>
          </w:tcPr>
          <w:p>
            <w:r>
              <w:rPr>
                <w:rFonts w:ascii="Arial" w:hAnsi="Arial"/>
                <w:b/>
                <w:color w:val="FFFFFF"/>
                <w:sz w:val="19"/>
              </w:rPr>
              <w:t>Usage UI / UX</w:t>
            </w:r>
          </w:p>
        </w:tc>
      </w:tr>
      <w:tr>
        <w:tc>
          <w:tcPr>
            <w:tcW w:type="dxa" w:w="3312"/>
            <w:shd w:fill="FFFFFF"/>
            <w:tcMar>
              <w:top w:w="80" w:type="dxa"/>
              <w:bottom w:w="80" w:type="dxa"/>
              <w:left w:w="100" w:type="dxa"/>
              <w:right w:w="100" w:type="dxa"/>
            </w:tcMar>
          </w:tcPr>
          <w:p>
            <w:pPr>
              <w:spacing w:before="40" w:after="40"/>
            </w:pPr>
            <w:r>
              <w:rPr>
                <w:rFonts w:ascii="Arial" w:hAnsi="Arial"/>
                <w:b/>
                <w:sz w:val="18"/>
              </w:rPr>
              <w:t>Blanc Pur</w:t>
            </w:r>
          </w:p>
        </w:tc>
        <w:tc>
          <w:tcPr>
            <w:tcW w:type="dxa" w:w="3312"/>
            <w:shd w:fill="FFFFFF"/>
            <w:tcMar>
              <w:top w:w="80" w:type="dxa"/>
              <w:bottom w:w="80" w:type="dxa"/>
              <w:left w:w="100" w:type="dxa"/>
              <w:right w:w="100" w:type="dxa"/>
            </w:tcMar>
          </w:tcPr>
          <w:p>
            <w:pPr>
              <w:spacing w:before="40" w:after="40"/>
            </w:pPr>
            <w:r>
              <w:rPr>
                <w:rFonts w:ascii="Courier New" w:hAnsi="Courier New"/>
                <w:sz w:val="18"/>
              </w:rPr>
              <w:t>#FFFFFF</w:t>
            </w:r>
          </w:p>
        </w:tc>
        <w:tc>
          <w:tcPr>
            <w:tcW w:type="dxa" w:w="3312"/>
            <w:shd w:fill="FFFFFF"/>
            <w:tcMar>
              <w:top w:w="80" w:type="dxa"/>
              <w:bottom w:w="80" w:type="dxa"/>
              <w:left w:w="100" w:type="dxa"/>
              <w:right w:w="100" w:type="dxa"/>
            </w:tcMar>
          </w:tcPr>
          <w:p>
            <w:pPr>
              <w:spacing w:before="40" w:after="40"/>
            </w:pPr>
            <w:r>
              <w:rPr>
                <w:rFonts w:ascii="Arial" w:hAnsi="Arial"/>
                <w:sz w:val="18"/>
              </w:rPr>
              <w:t>Fond dominant des écrans, conteneurs, cartes et modales</w:t>
            </w:r>
          </w:p>
        </w:tc>
      </w:tr>
      <w:tr>
        <w:tc>
          <w:tcPr>
            <w:tcW w:type="dxa" w:w="3312"/>
            <w:shd w:fill="F8FAFC"/>
            <w:tcMar>
              <w:top w:w="80" w:type="dxa"/>
              <w:bottom w:w="80" w:type="dxa"/>
              <w:left w:w="100" w:type="dxa"/>
              <w:right w:w="100" w:type="dxa"/>
            </w:tcMar>
          </w:tcPr>
          <w:p>
            <w:pPr>
              <w:spacing w:before="40" w:after="40"/>
            </w:pPr>
            <w:r>
              <w:rPr>
                <w:rFonts w:ascii="Arial" w:hAnsi="Arial"/>
                <w:b/>
                <w:sz w:val="18"/>
              </w:rPr>
              <w:t>Blanc Cassé / Ardoise 50</w:t>
            </w:r>
          </w:p>
        </w:tc>
        <w:tc>
          <w:tcPr>
            <w:tcW w:type="dxa" w:w="3312"/>
            <w:shd w:fill="F8FAFC"/>
            <w:tcMar>
              <w:top w:w="80" w:type="dxa"/>
              <w:bottom w:w="80" w:type="dxa"/>
              <w:left w:w="100" w:type="dxa"/>
              <w:right w:w="100" w:type="dxa"/>
            </w:tcMar>
          </w:tcPr>
          <w:p>
            <w:pPr>
              <w:spacing w:before="40" w:after="40"/>
            </w:pPr>
            <w:r>
              <w:rPr>
                <w:rFonts w:ascii="Courier New" w:hAnsi="Courier New"/>
                <w:sz w:val="18"/>
              </w:rPr>
              <w:t>#F8FAFC</w:t>
            </w:r>
          </w:p>
        </w:tc>
        <w:tc>
          <w:tcPr>
            <w:tcW w:type="dxa" w:w="3312"/>
            <w:shd w:fill="F8FAFC"/>
            <w:tcMar>
              <w:top w:w="80" w:type="dxa"/>
              <w:bottom w:w="80" w:type="dxa"/>
              <w:left w:w="100" w:type="dxa"/>
              <w:right w:w="100" w:type="dxa"/>
            </w:tcMar>
          </w:tcPr>
          <w:p>
            <w:pPr>
              <w:spacing w:before="40" w:after="40"/>
            </w:pPr>
            <w:r>
              <w:rPr>
                <w:rFonts w:ascii="Arial" w:hAnsi="Arial"/>
                <w:sz w:val="18"/>
              </w:rPr>
              <w:t>Fond global d'application, aération des sections</w:t>
            </w:r>
          </w:p>
        </w:tc>
      </w:tr>
      <w:tr>
        <w:tc>
          <w:tcPr>
            <w:tcW w:type="dxa" w:w="3312"/>
            <w:shd w:fill="FFFFFF"/>
            <w:tcMar>
              <w:top w:w="80" w:type="dxa"/>
              <w:bottom w:w="80" w:type="dxa"/>
              <w:left w:w="100" w:type="dxa"/>
              <w:right w:w="100" w:type="dxa"/>
            </w:tcMar>
          </w:tcPr>
          <w:p>
            <w:pPr>
              <w:spacing w:before="40" w:after="40"/>
            </w:pPr>
            <w:r>
              <w:rPr>
                <w:rFonts w:ascii="Arial" w:hAnsi="Arial"/>
                <w:b/>
                <w:sz w:val="18"/>
              </w:rPr>
              <w:t>Bordeaux Johmann</w:t>
            </w:r>
          </w:p>
        </w:tc>
        <w:tc>
          <w:tcPr>
            <w:tcW w:type="dxa" w:w="3312"/>
            <w:shd w:fill="FFFFFF"/>
            <w:tcMar>
              <w:top w:w="80" w:type="dxa"/>
              <w:bottom w:w="80" w:type="dxa"/>
              <w:left w:w="100" w:type="dxa"/>
              <w:right w:w="100" w:type="dxa"/>
            </w:tcMar>
          </w:tcPr>
          <w:p>
            <w:pPr>
              <w:spacing w:before="40" w:after="40"/>
            </w:pPr>
            <w:r>
              <w:rPr>
                <w:rFonts w:ascii="Courier New" w:hAnsi="Courier New"/>
                <w:sz w:val="18"/>
              </w:rPr>
              <w:t>#7A1B29</w:t>
            </w:r>
          </w:p>
        </w:tc>
        <w:tc>
          <w:tcPr>
            <w:tcW w:type="dxa" w:w="3312"/>
            <w:shd w:fill="FFFFFF"/>
            <w:tcMar>
              <w:top w:w="80" w:type="dxa"/>
              <w:bottom w:w="80" w:type="dxa"/>
              <w:left w:w="100" w:type="dxa"/>
              <w:right w:w="100" w:type="dxa"/>
            </w:tcMar>
          </w:tcPr>
          <w:p>
            <w:pPr>
              <w:spacing w:before="40" w:after="40"/>
            </w:pPr>
            <w:r>
              <w:rPr>
                <w:rFonts w:ascii="Arial" w:hAnsi="Arial"/>
                <w:sz w:val="18"/>
              </w:rPr>
              <w:t>Couleur de marque issue du logo : boutons d'action clés, logo, accents actifs</w:t>
            </w:r>
          </w:p>
        </w:tc>
      </w:tr>
      <w:tr>
        <w:tc>
          <w:tcPr>
            <w:tcW w:type="dxa" w:w="3312"/>
            <w:shd w:fill="F8FAFC"/>
            <w:tcMar>
              <w:top w:w="80" w:type="dxa"/>
              <w:bottom w:w="80" w:type="dxa"/>
              <w:left w:w="100" w:type="dxa"/>
              <w:right w:w="100" w:type="dxa"/>
            </w:tcMar>
          </w:tcPr>
          <w:p>
            <w:pPr>
              <w:spacing w:before="40" w:after="40"/>
            </w:pPr>
            <w:r>
              <w:rPr>
                <w:rFonts w:ascii="Arial" w:hAnsi="Arial"/>
                <w:b/>
                <w:sz w:val="18"/>
              </w:rPr>
              <w:t>Or Doux Institutionnel</w:t>
            </w:r>
          </w:p>
        </w:tc>
        <w:tc>
          <w:tcPr>
            <w:tcW w:type="dxa" w:w="3312"/>
            <w:shd w:fill="F8FAFC"/>
            <w:tcMar>
              <w:top w:w="80" w:type="dxa"/>
              <w:bottom w:w="80" w:type="dxa"/>
              <w:left w:w="100" w:type="dxa"/>
              <w:right w:w="100" w:type="dxa"/>
            </w:tcMar>
          </w:tcPr>
          <w:p>
            <w:pPr>
              <w:spacing w:before="40" w:after="40"/>
            </w:pPr>
            <w:r>
              <w:rPr>
                <w:rFonts w:ascii="Courier New" w:hAnsi="Courier New"/>
                <w:sz w:val="18"/>
              </w:rPr>
              <w:t>#C59B27</w:t>
            </w:r>
          </w:p>
        </w:tc>
        <w:tc>
          <w:tcPr>
            <w:tcW w:type="dxa" w:w="3312"/>
            <w:shd w:fill="F8FAFC"/>
            <w:tcMar>
              <w:top w:w="80" w:type="dxa"/>
              <w:bottom w:w="80" w:type="dxa"/>
              <w:left w:w="100" w:type="dxa"/>
              <w:right w:w="100" w:type="dxa"/>
            </w:tcMar>
          </w:tcPr>
          <w:p>
            <w:pPr>
              <w:spacing w:before="40" w:after="40"/>
            </w:pPr>
            <w:r>
              <w:rPr>
                <w:rFonts w:ascii="Arial" w:hAnsi="Arial"/>
                <w:sz w:val="18"/>
              </w:rPr>
              <w:t>Accents d'excellence, badges de certification, mentions d'honneur</w:t>
            </w:r>
          </w:p>
        </w:tc>
      </w:tr>
      <w:tr>
        <w:tc>
          <w:tcPr>
            <w:tcW w:type="dxa" w:w="3312"/>
            <w:shd w:fill="FFFFFF"/>
            <w:tcMar>
              <w:top w:w="80" w:type="dxa"/>
              <w:bottom w:w="80" w:type="dxa"/>
              <w:left w:w="100" w:type="dxa"/>
              <w:right w:w="100" w:type="dxa"/>
            </w:tcMar>
          </w:tcPr>
          <w:p>
            <w:pPr>
              <w:spacing w:before="40" w:after="40"/>
            </w:pPr>
            <w:r>
              <w:rPr>
                <w:rFonts w:ascii="Arial" w:hAnsi="Arial"/>
                <w:b/>
                <w:sz w:val="18"/>
              </w:rPr>
              <w:t>Texte Ardoise Sombre</w:t>
            </w:r>
          </w:p>
        </w:tc>
        <w:tc>
          <w:tcPr>
            <w:tcW w:type="dxa" w:w="3312"/>
            <w:shd w:fill="FFFFFF"/>
            <w:tcMar>
              <w:top w:w="80" w:type="dxa"/>
              <w:bottom w:w="80" w:type="dxa"/>
              <w:left w:w="100" w:type="dxa"/>
              <w:right w:w="100" w:type="dxa"/>
            </w:tcMar>
          </w:tcPr>
          <w:p>
            <w:pPr>
              <w:spacing w:before="40" w:after="40"/>
            </w:pPr>
            <w:r>
              <w:rPr>
                <w:rFonts w:ascii="Courier New" w:hAnsi="Courier New"/>
                <w:sz w:val="18"/>
              </w:rPr>
              <w:t>#0F172A</w:t>
            </w:r>
          </w:p>
        </w:tc>
        <w:tc>
          <w:tcPr>
            <w:tcW w:type="dxa" w:w="3312"/>
            <w:shd w:fill="FFFFFF"/>
            <w:tcMar>
              <w:top w:w="80" w:type="dxa"/>
              <w:bottom w:w="80" w:type="dxa"/>
              <w:left w:w="100" w:type="dxa"/>
              <w:right w:w="100" w:type="dxa"/>
            </w:tcMar>
          </w:tcPr>
          <w:p>
            <w:pPr>
              <w:spacing w:before="40" w:after="40"/>
            </w:pPr>
            <w:r>
              <w:rPr>
                <w:rFonts w:ascii="Arial" w:hAnsi="Arial"/>
                <w:sz w:val="18"/>
              </w:rPr>
              <w:t>Titres principaux, labels de formulaires, contraste optimal</w:t>
            </w:r>
          </w:p>
        </w:tc>
      </w:tr>
      <w:tr>
        <w:tc>
          <w:tcPr>
            <w:tcW w:type="dxa" w:w="3312"/>
            <w:shd w:fill="F8FAFC"/>
            <w:tcMar>
              <w:top w:w="80" w:type="dxa"/>
              <w:bottom w:w="80" w:type="dxa"/>
              <w:left w:w="100" w:type="dxa"/>
              <w:right w:w="100" w:type="dxa"/>
            </w:tcMar>
          </w:tcPr>
          <w:p>
            <w:pPr>
              <w:spacing w:before="40" w:after="40"/>
            </w:pPr>
            <w:r>
              <w:rPr>
                <w:rFonts w:ascii="Arial" w:hAnsi="Arial"/>
                <w:b/>
                <w:sz w:val="18"/>
              </w:rPr>
              <w:t>Gris Neutre de Corps</w:t>
            </w:r>
          </w:p>
        </w:tc>
        <w:tc>
          <w:tcPr>
            <w:tcW w:type="dxa" w:w="3312"/>
            <w:shd w:fill="F8FAFC"/>
            <w:tcMar>
              <w:top w:w="80" w:type="dxa"/>
              <w:bottom w:w="80" w:type="dxa"/>
              <w:left w:w="100" w:type="dxa"/>
              <w:right w:w="100" w:type="dxa"/>
            </w:tcMar>
          </w:tcPr>
          <w:p>
            <w:pPr>
              <w:spacing w:before="40" w:after="40"/>
            </w:pPr>
            <w:r>
              <w:rPr>
                <w:rFonts w:ascii="Courier New" w:hAnsi="Courier New"/>
                <w:sz w:val="18"/>
              </w:rPr>
              <w:t>#475569</w:t>
            </w:r>
          </w:p>
        </w:tc>
        <w:tc>
          <w:tcPr>
            <w:tcW w:type="dxa" w:w="3312"/>
            <w:shd w:fill="F8FAFC"/>
            <w:tcMar>
              <w:top w:w="80" w:type="dxa"/>
              <w:bottom w:w="80" w:type="dxa"/>
              <w:left w:w="100" w:type="dxa"/>
              <w:right w:w="100" w:type="dxa"/>
            </w:tcMar>
          </w:tcPr>
          <w:p>
            <w:pPr>
              <w:spacing w:before="40" w:after="40"/>
            </w:pPr>
            <w:r>
              <w:rPr>
                <w:rFonts w:ascii="Arial" w:hAnsi="Arial"/>
                <w:sz w:val="18"/>
              </w:rPr>
              <w:t>Corps de texte, descriptions, métadonnées secondaires</w:t>
            </w:r>
          </w:p>
        </w:tc>
      </w:tr>
    </w:tbl>
    <w:p>
      <w:pPr>
        <w:spacing w:after="120"/>
      </w:pPr>
    </w:p>
    <w:p>
      <w:pPr>
        <w:keepNext/>
        <w:spacing w:before="200" w:after="120"/>
      </w:pPr>
      <w:r>
        <w:rPr>
          <w:rFonts w:ascii="Arial" w:hAnsi="Arial"/>
          <w:b/>
          <w:color w:val="0F172A"/>
          <w:sz w:val="24"/>
        </w:rPr>
        <w:t>Principes Typographiques &amp; Ergonomie de Surface</w:t>
      </w:r>
    </w:p>
    <w:p>
      <w:pPr>
        <w:spacing w:after="120" w:line="276" w:lineRule="auto"/>
      </w:pPr>
      <w:r>
        <w:rPr>
          <w:rFonts w:ascii="Arial" w:hAnsi="Arial"/>
          <w:color w:val="334155"/>
          <w:sz w:val="19"/>
        </w:rPr>
        <w:t>• Typographie Principale (Plus Jakarta Sans / Inter) : Moderne, géométrique mais dotée d'une excellente lisibilité sur tablettes et écrans mobiles.</w:t>
        <w:br/>
        <w:t>• Typographie Chiffrée (JetBrains Mono) : Utilisée pour les matricules étudiants, les montants en Francs CFA, les notes d'évaluation sur 20 et les coefficients du bulletin.</w:t>
        <w:br/>
        <w:t>• Traitement des Ombres : Pas d'ombres colorées agressives. Recours exclusif à des ombres diffuses ultra-douces ('soft ambient shadows' : rgba(0, 0, 0, 0.04) et rgba(0, 0, 0, 0.06)).</w:t>
        <w:br/>
        <w:t>• Bordures Subtiles : Séparateurs fins de 1px en #E2E8F0 pour délimiter les blocs sans encombrer la vue.</w:t>
      </w:r>
    </w:p>
    <w:p>
      <w:r>
        <w:br w:type="page"/>
      </w:r>
    </w:p>
    <w:p>
      <w:pPr>
        <w:keepNext/>
        <w:spacing w:before="320" w:after="120"/>
      </w:pPr>
      <w:r>
        <w:rPr>
          <w:rFonts w:ascii="Arial" w:hAnsi="Arial"/>
          <w:b/>
          <w:color w:val="7A1B29"/>
          <w:sz w:val="30"/>
        </w:rPr>
        <w:t>3. Matrice Ergonomique des Droits d'Accès</w:t>
      </w:r>
    </w:p>
    <w:p>
      <w:pPr>
        <w:spacing w:after="160"/>
      </w:pPr>
      <w:r>
        <w:rPr>
          <w:rFonts w:ascii="Arial" w:hAnsi="Arial"/>
          <w:sz w:val="20"/>
        </w:rPr>
        <w:t>La plateforme cloisonne strictement les 3 espaces pour garantir l'intégrité pédagogique, financière et administrative. Le tableau ci-dessous synthétise la matrice des permissions par fonctionnalité :</w:t>
      </w:r>
    </w:p>
    <w:tbl>
      <w:tblPr>
        <w:tblW w:type="auto" w:w="0"/>
        <w:jc w:val="center"/>
        <w:tblLook w:firstColumn="1" w:firstRow="1" w:lastColumn="0" w:lastRow="0" w:noHBand="0" w:noVBand="1" w:val="04A0"/>
      </w:tblPr>
      <w:tblGrid>
        <w:gridCol w:w="3600"/>
        <w:gridCol w:w="1872"/>
        <w:gridCol w:w="1872"/>
        <w:gridCol w:w="2016"/>
      </w:tblGrid>
      <w:tr>
        <w:tc>
          <w:tcPr>
            <w:tcW w:type="dxa" w:w="2484"/>
            <w:shd w:fill="0F172A"/>
            <w:tcMar>
              <w:top w:w="100" w:type="dxa"/>
              <w:bottom w:w="100" w:type="dxa"/>
              <w:left w:w="100" w:type="dxa"/>
              <w:right w:w="100" w:type="dxa"/>
            </w:tcMar>
          </w:tcPr>
          <w:p>
            <w:r>
              <w:rPr>
                <w:rFonts w:ascii="Arial" w:hAnsi="Arial"/>
                <w:b/>
                <w:color w:val="FFFFFF"/>
                <w:sz w:val="18"/>
              </w:rPr>
              <w:t>Module / Fonctionnalité UX</w:t>
            </w:r>
          </w:p>
        </w:tc>
        <w:tc>
          <w:tcPr>
            <w:tcW w:type="dxa" w:w="2484"/>
            <w:shd w:fill="0F172A"/>
            <w:tcMar>
              <w:top w:w="100" w:type="dxa"/>
              <w:bottom w:w="100" w:type="dxa"/>
              <w:left w:w="100" w:type="dxa"/>
              <w:right w:w="100" w:type="dxa"/>
            </w:tcMar>
          </w:tcPr>
          <w:p>
            <w:r>
              <w:rPr>
                <w:rFonts w:ascii="Arial" w:hAnsi="Arial"/>
                <w:b/>
                <w:color w:val="FFFFFF"/>
                <w:sz w:val="18"/>
              </w:rPr>
              <w:t>Espace Admin</w:t>
            </w:r>
          </w:p>
        </w:tc>
        <w:tc>
          <w:tcPr>
            <w:tcW w:type="dxa" w:w="2484"/>
            <w:shd w:fill="0F172A"/>
            <w:tcMar>
              <w:top w:w="100" w:type="dxa"/>
              <w:bottom w:w="100" w:type="dxa"/>
              <w:left w:w="100" w:type="dxa"/>
              <w:right w:w="100" w:type="dxa"/>
            </w:tcMar>
          </w:tcPr>
          <w:p>
            <w:r>
              <w:rPr>
                <w:rFonts w:ascii="Arial" w:hAnsi="Arial"/>
                <w:b/>
                <w:color w:val="FFFFFF"/>
                <w:sz w:val="18"/>
              </w:rPr>
              <w:t>Espace Enseignant</w:t>
            </w:r>
          </w:p>
        </w:tc>
        <w:tc>
          <w:tcPr>
            <w:tcW w:type="dxa" w:w="2484"/>
            <w:shd w:fill="0F172A"/>
            <w:tcMar>
              <w:top w:w="100" w:type="dxa"/>
              <w:bottom w:w="100" w:type="dxa"/>
              <w:left w:w="100" w:type="dxa"/>
              <w:right w:w="100" w:type="dxa"/>
            </w:tcMar>
          </w:tcPr>
          <w:p>
            <w:r>
              <w:rPr>
                <w:rFonts w:ascii="Arial" w:hAnsi="Arial"/>
                <w:b/>
                <w:color w:val="FFFFFF"/>
                <w:sz w:val="18"/>
              </w:rPr>
              <w:t>Espace Étudiant</w:t>
            </w:r>
          </w:p>
        </w:tc>
      </w:tr>
      <w:tr>
        <w:tc>
          <w:tcPr>
            <w:tcW w:type="dxa" w:w="2484"/>
            <w:shd w:fill="FFFFFF"/>
            <w:tcMar>
              <w:top w:w="80" w:type="dxa"/>
              <w:bottom w:w="80" w:type="dxa"/>
              <w:left w:w="80" w:type="dxa"/>
              <w:right w:w="80" w:type="dxa"/>
            </w:tcMar>
          </w:tcPr>
          <w:p>
            <w:pPr>
              <w:spacing w:before="40" w:after="40"/>
            </w:pPr>
            <w:r>
              <w:rPr>
                <w:rFonts w:ascii="Arial" w:hAnsi="Arial"/>
                <w:b/>
                <w:color w:val="0F172A"/>
                <w:sz w:val="17"/>
              </w:rPr>
              <w:t>Gestion Étudiants &amp; Imports Excel</w:t>
            </w:r>
          </w:p>
        </w:tc>
        <w:tc>
          <w:tcPr>
            <w:tcW w:type="dxa" w:w="2484"/>
            <w:shd w:fill="FFFFFF"/>
            <w:tcMar>
              <w:top w:w="80" w:type="dxa"/>
              <w:bottom w:w="80" w:type="dxa"/>
              <w:left w:w="80" w:type="dxa"/>
              <w:right w:w="80" w:type="dxa"/>
            </w:tcMar>
          </w:tcPr>
          <w:p>
            <w:pPr>
              <w:spacing w:before="40" w:after="40"/>
            </w:pPr>
            <w:r>
              <w:rPr>
                <w:rFonts w:ascii="Arial" w:hAnsi="Arial"/>
                <w:b/>
                <w:color w:val="15803D"/>
                <w:sz w:val="17"/>
              </w:rPr>
              <w:t>Plein Accès (Création, Édition, Import)</w:t>
            </w:r>
          </w:p>
        </w:tc>
        <w:tc>
          <w:tcPr>
            <w:tcW w:type="dxa" w:w="2484"/>
            <w:shd w:fill="FFFFFF"/>
            <w:tcMar>
              <w:top w:w="80" w:type="dxa"/>
              <w:bottom w:w="80" w:type="dxa"/>
              <w:left w:w="80" w:type="dxa"/>
              <w:right w:w="80" w:type="dxa"/>
            </w:tcMar>
          </w:tcPr>
          <w:p>
            <w:pPr>
              <w:spacing w:before="40" w:after="40"/>
            </w:pPr>
            <w:r>
              <w:rPr>
                <w:rFonts w:ascii="Arial" w:hAnsi="Arial"/>
                <w:color w:val="334155"/>
                <w:sz w:val="17"/>
              </w:rPr>
              <w:t>Lecture Seule (Ses classes)</w:t>
            </w:r>
          </w:p>
        </w:tc>
        <w:tc>
          <w:tcPr>
            <w:tcW w:type="dxa" w:w="2484"/>
            <w:shd w:fill="FFFFFF"/>
            <w:tcMar>
              <w:top w:w="80" w:type="dxa"/>
              <w:bottom w:w="80" w:type="dxa"/>
              <w:left w:w="80" w:type="dxa"/>
              <w:right w:w="80" w:type="dxa"/>
            </w:tcMar>
          </w:tcPr>
          <w:p>
            <w:pPr>
              <w:spacing w:before="40" w:after="40"/>
            </w:pPr>
            <w:r>
              <w:rPr>
                <w:rFonts w:ascii="Arial" w:hAnsi="Arial"/>
                <w:color w:val="334155"/>
                <w:sz w:val="17"/>
              </w:rPr>
              <w:t>Profil Personnel uniquement</w:t>
            </w:r>
          </w:p>
        </w:tc>
      </w:tr>
      <w:tr>
        <w:tc>
          <w:tcPr>
            <w:tcW w:type="dxa" w:w="2484"/>
            <w:shd w:fill="F8FAFC"/>
            <w:tcMar>
              <w:top w:w="80" w:type="dxa"/>
              <w:bottom w:w="80" w:type="dxa"/>
              <w:left w:w="80" w:type="dxa"/>
              <w:right w:w="80" w:type="dxa"/>
            </w:tcMar>
          </w:tcPr>
          <w:p>
            <w:pPr>
              <w:spacing w:before="40" w:after="40"/>
            </w:pPr>
            <w:r>
              <w:rPr>
                <w:rFonts w:ascii="Arial" w:hAnsi="Arial"/>
                <w:b/>
                <w:color w:val="0F172A"/>
                <w:sz w:val="17"/>
              </w:rPr>
              <w:t>Scolarité, Versements &amp; Reçus PDF</w:t>
            </w:r>
          </w:p>
        </w:tc>
        <w:tc>
          <w:tcPr>
            <w:tcW w:type="dxa" w:w="2484"/>
            <w:shd w:fill="F8FAFC"/>
            <w:tcMar>
              <w:top w:w="80" w:type="dxa"/>
              <w:bottom w:w="80" w:type="dxa"/>
              <w:left w:w="80" w:type="dxa"/>
              <w:right w:w="80" w:type="dxa"/>
            </w:tcMar>
          </w:tcPr>
          <w:p>
            <w:pPr>
              <w:spacing w:before="40" w:after="40"/>
            </w:pPr>
            <w:r>
              <w:rPr>
                <w:rFonts w:ascii="Arial" w:hAnsi="Arial"/>
                <w:b/>
                <w:color w:val="15803D"/>
                <w:sz w:val="17"/>
              </w:rPr>
              <w:t>Plein Accès (Reçus, Annulations tracées)</w:t>
            </w:r>
          </w:p>
        </w:tc>
        <w:tc>
          <w:tcPr>
            <w:tcW w:type="dxa" w:w="2484"/>
            <w:shd w:fill="F8FAFC"/>
            <w:tcMar>
              <w:top w:w="80" w:type="dxa"/>
              <w:bottom w:w="80" w:type="dxa"/>
              <w:left w:w="80" w:type="dxa"/>
              <w:right w:w="80" w:type="dxa"/>
            </w:tcMar>
          </w:tcPr>
          <w:p>
            <w:pPr>
              <w:spacing w:before="40" w:after="40"/>
            </w:pPr>
            <w:r>
              <w:rPr>
                <w:rFonts w:ascii="Arial" w:hAnsi="Arial"/>
                <w:color w:val="94A3B8"/>
                <w:sz w:val="17"/>
              </w:rPr>
              <w:t>Accès Refusé</w:t>
            </w:r>
          </w:p>
        </w:tc>
        <w:tc>
          <w:tcPr>
            <w:tcW w:type="dxa" w:w="2484"/>
            <w:shd w:fill="F8FAFC"/>
            <w:tcMar>
              <w:top w:w="80" w:type="dxa"/>
              <w:bottom w:w="80" w:type="dxa"/>
              <w:left w:w="80" w:type="dxa"/>
              <w:right w:w="80" w:type="dxa"/>
            </w:tcMar>
          </w:tcPr>
          <w:p>
            <w:pPr>
              <w:spacing w:before="40" w:after="40"/>
            </w:pPr>
            <w:r>
              <w:rPr>
                <w:rFonts w:ascii="Arial" w:hAnsi="Arial"/>
                <w:color w:val="334155"/>
                <w:sz w:val="17"/>
              </w:rPr>
              <w:t>Lecture Seule (Situation &amp; Reçus)</w:t>
            </w:r>
          </w:p>
        </w:tc>
      </w:tr>
      <w:tr>
        <w:tc>
          <w:tcPr>
            <w:tcW w:type="dxa" w:w="2484"/>
            <w:shd w:fill="FFFFFF"/>
            <w:tcMar>
              <w:top w:w="80" w:type="dxa"/>
              <w:bottom w:w="80" w:type="dxa"/>
              <w:left w:w="80" w:type="dxa"/>
              <w:right w:w="80" w:type="dxa"/>
            </w:tcMar>
          </w:tcPr>
          <w:p>
            <w:pPr>
              <w:spacing w:before="40" w:after="40"/>
            </w:pPr>
            <w:r>
              <w:rPr>
                <w:rFonts w:ascii="Arial" w:hAnsi="Arial"/>
                <w:b/>
                <w:color w:val="0F172A"/>
                <w:sz w:val="17"/>
              </w:rPr>
              <w:t>Affectations Enseignants / Matières</w:t>
            </w:r>
          </w:p>
        </w:tc>
        <w:tc>
          <w:tcPr>
            <w:tcW w:type="dxa" w:w="2484"/>
            <w:shd w:fill="FFFFFF"/>
            <w:tcMar>
              <w:top w:w="80" w:type="dxa"/>
              <w:bottom w:w="80" w:type="dxa"/>
              <w:left w:w="80" w:type="dxa"/>
              <w:right w:w="80" w:type="dxa"/>
            </w:tcMar>
          </w:tcPr>
          <w:p>
            <w:pPr>
              <w:spacing w:before="40" w:after="40"/>
            </w:pPr>
            <w:r>
              <w:rPr>
                <w:rFonts w:ascii="Arial" w:hAnsi="Arial"/>
                <w:b/>
                <w:color w:val="15803D"/>
                <w:sz w:val="17"/>
              </w:rPr>
              <w:t>Plein Accès (Configuration globale)</w:t>
            </w:r>
          </w:p>
        </w:tc>
        <w:tc>
          <w:tcPr>
            <w:tcW w:type="dxa" w:w="2484"/>
            <w:shd w:fill="FFFFFF"/>
            <w:tcMar>
              <w:top w:w="80" w:type="dxa"/>
              <w:bottom w:w="80" w:type="dxa"/>
              <w:left w:w="80" w:type="dxa"/>
              <w:right w:w="80" w:type="dxa"/>
            </w:tcMar>
          </w:tcPr>
          <w:p>
            <w:pPr>
              <w:spacing w:before="40" w:after="40"/>
            </w:pPr>
            <w:r>
              <w:rPr>
                <w:rFonts w:ascii="Arial" w:hAnsi="Arial"/>
                <w:color w:val="334155"/>
                <w:sz w:val="17"/>
              </w:rPr>
              <w:t>Lecture Seule (Ses affectations)</w:t>
            </w:r>
          </w:p>
        </w:tc>
        <w:tc>
          <w:tcPr>
            <w:tcW w:type="dxa" w:w="2484"/>
            <w:shd w:fill="FFFFFF"/>
            <w:tcMar>
              <w:top w:w="80" w:type="dxa"/>
              <w:bottom w:w="80" w:type="dxa"/>
              <w:left w:w="80" w:type="dxa"/>
              <w:right w:w="80" w:type="dxa"/>
            </w:tcMar>
          </w:tcPr>
          <w:p>
            <w:pPr>
              <w:spacing w:before="40" w:after="40"/>
            </w:pPr>
            <w:r>
              <w:rPr>
                <w:rFonts w:ascii="Arial" w:hAnsi="Arial"/>
                <w:color w:val="94A3B8"/>
                <w:sz w:val="17"/>
              </w:rPr>
              <w:t>Accès Refusé</w:t>
            </w:r>
          </w:p>
        </w:tc>
      </w:tr>
      <w:tr>
        <w:tc>
          <w:tcPr>
            <w:tcW w:type="dxa" w:w="2484"/>
            <w:shd w:fill="F8FAFC"/>
            <w:tcMar>
              <w:top w:w="80" w:type="dxa"/>
              <w:bottom w:w="80" w:type="dxa"/>
              <w:left w:w="80" w:type="dxa"/>
              <w:right w:w="80" w:type="dxa"/>
            </w:tcMar>
          </w:tcPr>
          <w:p>
            <w:pPr>
              <w:spacing w:before="40" w:after="40"/>
            </w:pPr>
            <w:r>
              <w:rPr>
                <w:rFonts w:ascii="Arial" w:hAnsi="Arial"/>
                <w:b/>
                <w:color w:val="0F172A"/>
                <w:sz w:val="17"/>
              </w:rPr>
              <w:t>Conception Fiches &amp; Banque QCM</w:t>
            </w:r>
          </w:p>
        </w:tc>
        <w:tc>
          <w:tcPr>
            <w:tcW w:type="dxa" w:w="2484"/>
            <w:shd w:fill="F8FAFC"/>
            <w:tcMar>
              <w:top w:w="80" w:type="dxa"/>
              <w:bottom w:w="80" w:type="dxa"/>
              <w:left w:w="80" w:type="dxa"/>
              <w:right w:w="80" w:type="dxa"/>
            </w:tcMar>
          </w:tcPr>
          <w:p>
            <w:pPr>
              <w:spacing w:before="40" w:after="40"/>
            </w:pPr>
            <w:r>
              <w:rPr>
                <w:rFonts w:ascii="Arial" w:hAnsi="Arial"/>
                <w:color w:val="334155"/>
                <w:sz w:val="17"/>
              </w:rPr>
              <w:t>Supervision &amp; Validation officielle</w:t>
            </w:r>
          </w:p>
        </w:tc>
        <w:tc>
          <w:tcPr>
            <w:tcW w:type="dxa" w:w="2484"/>
            <w:shd w:fill="F8FAFC"/>
            <w:tcMar>
              <w:top w:w="80" w:type="dxa"/>
              <w:bottom w:w="80" w:type="dxa"/>
              <w:left w:w="80" w:type="dxa"/>
              <w:right w:w="80" w:type="dxa"/>
            </w:tcMar>
          </w:tcPr>
          <w:p>
            <w:pPr>
              <w:spacing w:before="40" w:after="40"/>
            </w:pPr>
            <w:r>
              <w:rPr>
                <w:rFonts w:ascii="Arial" w:hAnsi="Arial"/>
                <w:b/>
                <w:color w:val="15803D"/>
                <w:sz w:val="17"/>
              </w:rPr>
              <w:t>Plein Accès (Ses disciplines)</w:t>
            </w:r>
          </w:p>
        </w:tc>
        <w:tc>
          <w:tcPr>
            <w:tcW w:type="dxa" w:w="2484"/>
            <w:shd w:fill="F8FAFC"/>
            <w:tcMar>
              <w:top w:w="80" w:type="dxa"/>
              <w:bottom w:w="80" w:type="dxa"/>
              <w:left w:w="80" w:type="dxa"/>
              <w:right w:w="80" w:type="dxa"/>
            </w:tcMar>
          </w:tcPr>
          <w:p>
            <w:pPr>
              <w:spacing w:before="40" w:after="40"/>
            </w:pPr>
            <w:r>
              <w:rPr>
                <w:rFonts w:ascii="Arial" w:hAnsi="Arial"/>
                <w:color w:val="94A3B8"/>
                <w:sz w:val="17"/>
              </w:rPr>
              <w:t>Accès Refusé</w:t>
            </w:r>
          </w:p>
        </w:tc>
      </w:tr>
      <w:tr>
        <w:tc>
          <w:tcPr>
            <w:tcW w:type="dxa" w:w="2484"/>
            <w:shd w:fill="FFFFFF"/>
            <w:tcMar>
              <w:top w:w="80" w:type="dxa"/>
              <w:bottom w:w="80" w:type="dxa"/>
              <w:left w:w="80" w:type="dxa"/>
              <w:right w:w="80" w:type="dxa"/>
            </w:tcMar>
          </w:tcPr>
          <w:p>
            <w:pPr>
              <w:spacing w:before="40" w:after="40"/>
            </w:pPr>
            <w:r>
              <w:rPr>
                <w:rFonts w:ascii="Arial" w:hAnsi="Arial"/>
                <w:b/>
                <w:color w:val="0F172A"/>
                <w:sz w:val="17"/>
              </w:rPr>
              <w:t>Lancement / Clôture Évaluations</w:t>
            </w:r>
          </w:p>
        </w:tc>
        <w:tc>
          <w:tcPr>
            <w:tcW w:type="dxa" w:w="2484"/>
            <w:shd w:fill="FFFFFF"/>
            <w:tcMar>
              <w:top w:w="80" w:type="dxa"/>
              <w:bottom w:w="80" w:type="dxa"/>
              <w:left w:w="80" w:type="dxa"/>
              <w:right w:w="80" w:type="dxa"/>
            </w:tcMar>
          </w:tcPr>
          <w:p>
            <w:pPr>
              <w:spacing w:before="40" w:after="40"/>
            </w:pPr>
            <w:r>
              <w:rPr>
                <w:rFonts w:ascii="Arial" w:hAnsi="Arial"/>
                <w:b/>
                <w:color w:val="15803D"/>
                <w:sz w:val="17"/>
              </w:rPr>
              <w:t>Plein Accès (Lancement / Réouverture)</w:t>
            </w:r>
          </w:p>
        </w:tc>
        <w:tc>
          <w:tcPr>
            <w:tcW w:type="dxa" w:w="2484"/>
            <w:shd w:fill="FFFFFF"/>
            <w:tcMar>
              <w:top w:w="80" w:type="dxa"/>
              <w:bottom w:w="80" w:type="dxa"/>
              <w:left w:w="80" w:type="dxa"/>
              <w:right w:w="80" w:type="dxa"/>
            </w:tcMar>
          </w:tcPr>
          <w:p>
            <w:pPr>
              <w:spacing w:before="40" w:after="40"/>
            </w:pPr>
            <w:r>
              <w:rPr>
                <w:rFonts w:ascii="Arial" w:hAnsi="Arial"/>
                <w:color w:val="334155"/>
                <w:sz w:val="17"/>
              </w:rPr>
              <w:t>Accès conditionnel (Selon droits)</w:t>
            </w:r>
          </w:p>
        </w:tc>
        <w:tc>
          <w:tcPr>
            <w:tcW w:type="dxa" w:w="2484"/>
            <w:shd w:fill="FFFFFF"/>
            <w:tcMar>
              <w:top w:w="80" w:type="dxa"/>
              <w:bottom w:w="80" w:type="dxa"/>
              <w:left w:w="80" w:type="dxa"/>
              <w:right w:w="80" w:type="dxa"/>
            </w:tcMar>
          </w:tcPr>
          <w:p>
            <w:pPr>
              <w:spacing w:before="40" w:after="40"/>
            </w:pPr>
            <w:r>
              <w:rPr>
                <w:rFonts w:ascii="Arial" w:hAnsi="Arial"/>
                <w:color w:val="94A3B8"/>
                <w:sz w:val="17"/>
              </w:rPr>
              <w:t>Accès Refusé</w:t>
            </w:r>
          </w:p>
        </w:tc>
      </w:tr>
      <w:tr>
        <w:tc>
          <w:tcPr>
            <w:tcW w:type="dxa" w:w="2484"/>
            <w:shd w:fill="F8FAFC"/>
            <w:tcMar>
              <w:top w:w="80" w:type="dxa"/>
              <w:bottom w:w="80" w:type="dxa"/>
              <w:left w:w="80" w:type="dxa"/>
              <w:right w:w="80" w:type="dxa"/>
            </w:tcMar>
          </w:tcPr>
          <w:p>
            <w:pPr>
              <w:spacing w:before="40" w:after="40"/>
            </w:pPr>
            <w:r>
              <w:rPr>
                <w:rFonts w:ascii="Arial" w:hAnsi="Arial"/>
                <w:b/>
                <w:color w:val="0F172A"/>
                <w:sz w:val="17"/>
              </w:rPr>
              <w:t>Composition en Ligne Chronométrée</w:t>
            </w:r>
          </w:p>
        </w:tc>
        <w:tc>
          <w:tcPr>
            <w:tcW w:type="dxa" w:w="2484"/>
            <w:shd w:fill="F8FAFC"/>
            <w:tcMar>
              <w:top w:w="80" w:type="dxa"/>
              <w:bottom w:w="80" w:type="dxa"/>
              <w:left w:w="80" w:type="dxa"/>
              <w:right w:w="80" w:type="dxa"/>
            </w:tcMar>
          </w:tcPr>
          <w:p>
            <w:pPr>
              <w:spacing w:before="40" w:after="40"/>
            </w:pPr>
            <w:r>
              <w:rPr>
                <w:rFonts w:ascii="Arial" w:hAnsi="Arial"/>
                <w:color w:val="94A3B8"/>
                <w:sz w:val="17"/>
              </w:rPr>
              <w:t>Accès Refusé</w:t>
            </w:r>
          </w:p>
        </w:tc>
        <w:tc>
          <w:tcPr>
            <w:tcW w:type="dxa" w:w="2484"/>
            <w:shd w:fill="F8FAFC"/>
            <w:tcMar>
              <w:top w:w="80" w:type="dxa"/>
              <w:bottom w:w="80" w:type="dxa"/>
              <w:left w:w="80" w:type="dxa"/>
              <w:right w:w="80" w:type="dxa"/>
            </w:tcMar>
          </w:tcPr>
          <w:p>
            <w:pPr>
              <w:spacing w:before="40" w:after="40"/>
            </w:pPr>
            <w:r>
              <w:rPr>
                <w:rFonts w:ascii="Arial" w:hAnsi="Arial"/>
                <w:color w:val="94A3B8"/>
                <w:sz w:val="17"/>
              </w:rPr>
              <w:t>Accès Refusé</w:t>
            </w:r>
          </w:p>
        </w:tc>
        <w:tc>
          <w:tcPr>
            <w:tcW w:type="dxa" w:w="2484"/>
            <w:shd w:fill="F8FAFC"/>
            <w:tcMar>
              <w:top w:w="80" w:type="dxa"/>
              <w:bottom w:w="80" w:type="dxa"/>
              <w:left w:w="80" w:type="dxa"/>
              <w:right w:w="80" w:type="dxa"/>
            </w:tcMar>
          </w:tcPr>
          <w:p>
            <w:pPr>
              <w:spacing w:before="40" w:after="40"/>
            </w:pPr>
            <w:r>
              <w:rPr>
                <w:rFonts w:ascii="Arial" w:hAnsi="Arial"/>
                <w:b/>
                <w:color w:val="15803D"/>
                <w:sz w:val="17"/>
              </w:rPr>
              <w:t>Plein Accès (Épreuves ouvertes)</w:t>
            </w:r>
          </w:p>
        </w:tc>
      </w:tr>
      <w:tr>
        <w:tc>
          <w:tcPr>
            <w:tcW w:type="dxa" w:w="2484"/>
            <w:shd w:fill="FFFFFF"/>
            <w:tcMar>
              <w:top w:w="80" w:type="dxa"/>
              <w:bottom w:w="80" w:type="dxa"/>
              <w:left w:w="80" w:type="dxa"/>
              <w:right w:w="80" w:type="dxa"/>
            </w:tcMar>
          </w:tcPr>
          <w:p>
            <w:pPr>
              <w:spacing w:before="40" w:after="40"/>
            </w:pPr>
            <w:r>
              <w:rPr>
                <w:rFonts w:ascii="Arial" w:hAnsi="Arial"/>
                <w:b/>
                <w:color w:val="0F172A"/>
                <w:sz w:val="17"/>
              </w:rPr>
              <w:t>Revue de Surveillance Photo</w:t>
            </w:r>
          </w:p>
        </w:tc>
        <w:tc>
          <w:tcPr>
            <w:tcW w:type="dxa" w:w="2484"/>
            <w:shd w:fill="FFFFFF"/>
            <w:tcMar>
              <w:top w:w="80" w:type="dxa"/>
              <w:bottom w:w="80" w:type="dxa"/>
              <w:left w:w="80" w:type="dxa"/>
              <w:right w:w="80" w:type="dxa"/>
            </w:tcMar>
          </w:tcPr>
          <w:p>
            <w:pPr>
              <w:spacing w:before="40" w:after="40"/>
            </w:pPr>
            <w:r>
              <w:rPr>
                <w:rFonts w:ascii="Arial" w:hAnsi="Arial"/>
                <w:b/>
                <w:color w:val="15803D"/>
                <w:sz w:val="17"/>
              </w:rPr>
              <w:t>Plein Accès (Décision finale tracée)</w:t>
            </w:r>
          </w:p>
        </w:tc>
        <w:tc>
          <w:tcPr>
            <w:tcW w:type="dxa" w:w="2484"/>
            <w:shd w:fill="FFFFFF"/>
            <w:tcMar>
              <w:top w:w="80" w:type="dxa"/>
              <w:bottom w:w="80" w:type="dxa"/>
              <w:left w:w="80" w:type="dxa"/>
              <w:right w:w="80" w:type="dxa"/>
            </w:tcMar>
          </w:tcPr>
          <w:p>
            <w:pPr>
              <w:spacing w:before="40" w:after="40"/>
            </w:pPr>
            <w:r>
              <w:rPr>
                <w:rFonts w:ascii="Arial" w:hAnsi="Arial"/>
                <w:color w:val="334155"/>
                <w:sz w:val="17"/>
              </w:rPr>
              <w:t>Consultation des alertes classe</w:t>
            </w:r>
          </w:p>
        </w:tc>
        <w:tc>
          <w:tcPr>
            <w:tcW w:type="dxa" w:w="2484"/>
            <w:shd w:fill="FFFFFF"/>
            <w:tcMar>
              <w:top w:w="80" w:type="dxa"/>
              <w:bottom w:w="80" w:type="dxa"/>
              <w:left w:w="80" w:type="dxa"/>
              <w:right w:w="80" w:type="dxa"/>
            </w:tcMar>
          </w:tcPr>
          <w:p>
            <w:pPr>
              <w:spacing w:before="40" w:after="40"/>
            </w:pPr>
            <w:r>
              <w:rPr>
                <w:rFonts w:ascii="Arial" w:hAnsi="Arial"/>
                <w:color w:val="334155"/>
                <w:sz w:val="17"/>
              </w:rPr>
              <w:t>Notification de statut discret</w:t>
            </w:r>
          </w:p>
        </w:tc>
      </w:tr>
      <w:tr>
        <w:tc>
          <w:tcPr>
            <w:tcW w:type="dxa" w:w="2484"/>
            <w:shd w:fill="F8FAFC"/>
            <w:tcMar>
              <w:top w:w="80" w:type="dxa"/>
              <w:bottom w:w="80" w:type="dxa"/>
              <w:left w:w="80" w:type="dxa"/>
              <w:right w:w="80" w:type="dxa"/>
            </w:tcMar>
          </w:tcPr>
          <w:p>
            <w:pPr>
              <w:spacing w:before="40" w:after="40"/>
            </w:pPr>
            <w:r>
              <w:rPr>
                <w:rFonts w:ascii="Arial" w:hAnsi="Arial"/>
                <w:b/>
                <w:color w:val="0F172A"/>
                <w:sz w:val="17"/>
              </w:rPr>
              <w:t>Correction &amp; Publication Notes</w:t>
            </w:r>
          </w:p>
        </w:tc>
        <w:tc>
          <w:tcPr>
            <w:tcW w:type="dxa" w:w="2484"/>
            <w:shd w:fill="F8FAFC"/>
            <w:tcMar>
              <w:top w:w="80" w:type="dxa"/>
              <w:bottom w:w="80" w:type="dxa"/>
              <w:left w:w="80" w:type="dxa"/>
              <w:right w:w="80" w:type="dxa"/>
            </w:tcMar>
          </w:tcPr>
          <w:p>
            <w:pPr>
              <w:spacing w:before="40" w:after="40"/>
            </w:pPr>
            <w:r>
              <w:rPr>
                <w:rFonts w:ascii="Arial" w:hAnsi="Arial"/>
                <w:color w:val="334155"/>
                <w:sz w:val="17"/>
              </w:rPr>
              <w:t>Validation globale &amp; Verrouillage</w:t>
            </w:r>
          </w:p>
        </w:tc>
        <w:tc>
          <w:tcPr>
            <w:tcW w:type="dxa" w:w="2484"/>
            <w:shd w:fill="F8FAFC"/>
            <w:tcMar>
              <w:top w:w="80" w:type="dxa"/>
              <w:bottom w:w="80" w:type="dxa"/>
              <w:left w:w="80" w:type="dxa"/>
              <w:right w:w="80" w:type="dxa"/>
            </w:tcMar>
          </w:tcPr>
          <w:p>
            <w:pPr>
              <w:spacing w:before="40" w:after="40"/>
            </w:pPr>
            <w:r>
              <w:rPr>
                <w:rFonts w:ascii="Arial" w:hAnsi="Arial"/>
                <w:b/>
                <w:color w:val="15803D"/>
                <w:sz w:val="17"/>
              </w:rPr>
              <w:t>Plein Accès (Correction &amp; Saisie)</w:t>
            </w:r>
          </w:p>
        </w:tc>
        <w:tc>
          <w:tcPr>
            <w:tcW w:type="dxa" w:w="2484"/>
            <w:shd w:fill="F8FAFC"/>
            <w:tcMar>
              <w:top w:w="80" w:type="dxa"/>
              <w:bottom w:w="80" w:type="dxa"/>
              <w:left w:w="80" w:type="dxa"/>
              <w:right w:w="80" w:type="dxa"/>
            </w:tcMar>
          </w:tcPr>
          <w:p>
            <w:pPr>
              <w:spacing w:before="40" w:after="40"/>
            </w:pPr>
            <w:r>
              <w:rPr>
                <w:rFonts w:ascii="Arial" w:hAnsi="Arial"/>
                <w:color w:val="334155"/>
                <w:sz w:val="17"/>
              </w:rPr>
              <w:t>Consultation après publication</w:t>
            </w:r>
          </w:p>
        </w:tc>
      </w:tr>
      <w:tr>
        <w:tc>
          <w:tcPr>
            <w:tcW w:type="dxa" w:w="2484"/>
            <w:shd w:fill="FFFFFF"/>
            <w:tcMar>
              <w:top w:w="80" w:type="dxa"/>
              <w:bottom w:w="80" w:type="dxa"/>
              <w:left w:w="80" w:type="dxa"/>
              <w:right w:w="80" w:type="dxa"/>
            </w:tcMar>
          </w:tcPr>
          <w:p>
            <w:pPr>
              <w:spacing w:before="40" w:after="40"/>
            </w:pPr>
            <w:r>
              <w:rPr>
                <w:rFonts w:ascii="Arial" w:hAnsi="Arial"/>
                <w:b/>
                <w:color w:val="0F172A"/>
                <w:sz w:val="17"/>
              </w:rPr>
              <w:t>Génération &amp; Validation Bulletins</w:t>
            </w:r>
          </w:p>
        </w:tc>
        <w:tc>
          <w:tcPr>
            <w:tcW w:type="dxa" w:w="2484"/>
            <w:shd w:fill="FFFFFF"/>
            <w:tcMar>
              <w:top w:w="80" w:type="dxa"/>
              <w:bottom w:w="80" w:type="dxa"/>
              <w:left w:w="80" w:type="dxa"/>
              <w:right w:w="80" w:type="dxa"/>
            </w:tcMar>
          </w:tcPr>
          <w:p>
            <w:pPr>
              <w:spacing w:before="40" w:after="40"/>
            </w:pPr>
            <w:r>
              <w:rPr>
                <w:rFonts w:ascii="Arial" w:hAnsi="Arial"/>
                <w:b/>
                <w:color w:val="15803D"/>
                <w:sz w:val="17"/>
              </w:rPr>
              <w:t>Plein Accès (Calculs, Visas, Export)</w:t>
            </w:r>
          </w:p>
        </w:tc>
        <w:tc>
          <w:tcPr>
            <w:tcW w:type="dxa" w:w="2484"/>
            <w:shd w:fill="FFFFFF"/>
            <w:tcMar>
              <w:top w:w="80" w:type="dxa"/>
              <w:bottom w:w="80" w:type="dxa"/>
              <w:left w:w="80" w:type="dxa"/>
              <w:right w:w="80" w:type="dxa"/>
            </w:tcMar>
          </w:tcPr>
          <w:p>
            <w:pPr>
              <w:spacing w:before="40" w:after="40"/>
            </w:pPr>
            <w:r>
              <w:rPr>
                <w:rFonts w:ascii="Arial" w:hAnsi="Arial"/>
                <w:color w:val="334155"/>
                <w:sz w:val="17"/>
              </w:rPr>
              <w:t>Saisie des appréciations</w:t>
            </w:r>
          </w:p>
        </w:tc>
        <w:tc>
          <w:tcPr>
            <w:tcW w:type="dxa" w:w="2484"/>
            <w:shd w:fill="FFFFFF"/>
            <w:tcMar>
              <w:top w:w="80" w:type="dxa"/>
              <w:bottom w:w="80" w:type="dxa"/>
              <w:left w:w="80" w:type="dxa"/>
              <w:right w:w="80" w:type="dxa"/>
            </w:tcMar>
          </w:tcPr>
          <w:p>
            <w:pPr>
              <w:spacing w:before="40" w:after="40"/>
            </w:pPr>
            <w:r>
              <w:rPr>
                <w:rFonts w:ascii="Arial" w:hAnsi="Arial"/>
                <w:color w:val="334155"/>
                <w:sz w:val="17"/>
              </w:rPr>
              <w:t>Téléchargement PDF personnel</w:t>
            </w:r>
          </w:p>
        </w:tc>
      </w:tr>
      <w:tr>
        <w:tc>
          <w:tcPr>
            <w:tcW w:type="dxa" w:w="2484"/>
            <w:shd w:fill="F8FAFC"/>
            <w:tcMar>
              <w:top w:w="80" w:type="dxa"/>
              <w:bottom w:w="80" w:type="dxa"/>
              <w:left w:w="80" w:type="dxa"/>
              <w:right w:w="80" w:type="dxa"/>
            </w:tcMar>
          </w:tcPr>
          <w:p>
            <w:pPr>
              <w:spacing w:before="40" w:after="40"/>
            </w:pPr>
            <w:r>
              <w:rPr>
                <w:rFonts w:ascii="Arial" w:hAnsi="Arial"/>
                <w:b/>
                <w:color w:val="0F172A"/>
                <w:sz w:val="17"/>
              </w:rPr>
              <w:t>Journal d'Audit &amp; Paramétrage</w:t>
            </w:r>
          </w:p>
        </w:tc>
        <w:tc>
          <w:tcPr>
            <w:tcW w:type="dxa" w:w="2484"/>
            <w:shd w:fill="F8FAFC"/>
            <w:tcMar>
              <w:top w:w="80" w:type="dxa"/>
              <w:bottom w:w="80" w:type="dxa"/>
              <w:left w:w="80" w:type="dxa"/>
              <w:right w:w="80" w:type="dxa"/>
            </w:tcMar>
          </w:tcPr>
          <w:p>
            <w:pPr>
              <w:spacing w:before="40" w:after="40"/>
            </w:pPr>
            <w:r>
              <w:rPr>
                <w:rFonts w:ascii="Arial" w:hAnsi="Arial"/>
                <w:b/>
                <w:color w:val="15803D"/>
                <w:sz w:val="17"/>
              </w:rPr>
              <w:t>Plein Accès (Traçabilité totale)</w:t>
            </w:r>
          </w:p>
        </w:tc>
        <w:tc>
          <w:tcPr>
            <w:tcW w:type="dxa" w:w="2484"/>
            <w:shd w:fill="F8FAFC"/>
            <w:tcMar>
              <w:top w:w="80" w:type="dxa"/>
              <w:bottom w:w="80" w:type="dxa"/>
              <w:left w:w="80" w:type="dxa"/>
              <w:right w:w="80" w:type="dxa"/>
            </w:tcMar>
          </w:tcPr>
          <w:p>
            <w:pPr>
              <w:spacing w:before="40" w:after="40"/>
            </w:pPr>
            <w:r>
              <w:rPr>
                <w:rFonts w:ascii="Arial" w:hAnsi="Arial"/>
                <w:color w:val="94A3B8"/>
                <w:sz w:val="17"/>
              </w:rPr>
              <w:t>Accès Refusé</w:t>
            </w:r>
          </w:p>
        </w:tc>
        <w:tc>
          <w:tcPr>
            <w:tcW w:type="dxa" w:w="2484"/>
            <w:shd w:fill="F8FAFC"/>
            <w:tcMar>
              <w:top w:w="80" w:type="dxa"/>
              <w:bottom w:w="80" w:type="dxa"/>
              <w:left w:w="80" w:type="dxa"/>
              <w:right w:w="80" w:type="dxa"/>
            </w:tcMar>
          </w:tcPr>
          <w:p>
            <w:pPr>
              <w:spacing w:before="40" w:after="40"/>
            </w:pPr>
            <w:r>
              <w:rPr>
                <w:rFonts w:ascii="Arial" w:hAnsi="Arial"/>
                <w:color w:val="94A3B8"/>
                <w:sz w:val="17"/>
              </w:rPr>
              <w:t>Accès Refusé</w:t>
            </w:r>
          </w:p>
        </w:tc>
      </w:tr>
    </w:tbl>
    <w:p>
      <w:r>
        <w:br w:type="page"/>
      </w:r>
    </w:p>
    <w:p>
      <w:pPr>
        <w:keepNext/>
        <w:spacing w:before="320" w:after="120"/>
      </w:pPr>
      <w:r>
        <w:rPr>
          <w:rFonts w:ascii="Arial" w:hAnsi="Arial"/>
          <w:b/>
          <w:color w:val="7A1B29"/>
          <w:sz w:val="30"/>
        </w:rPr>
        <w:t>4. Workflows &amp; Spécifications Écran par Écran</w:t>
      </w:r>
    </w:p>
    <w:p>
      <w:pPr>
        <w:keepNext/>
        <w:spacing w:before="160" w:after="120"/>
      </w:pPr>
      <w:r>
        <w:rPr>
          <w:rFonts w:ascii="Arial" w:hAnsi="Arial"/>
          <w:b/>
          <w:color w:val="7A1B29"/>
          <w:sz w:val="24"/>
        </w:rPr>
        <w:t>4.1 La Landing Page Publique (Route : /)</w:t>
      </w:r>
    </w:p>
    <w:p>
      <w:pPr>
        <w:spacing w:line="276" w:lineRule="auto" w:after="120"/>
      </w:pPr>
      <w:r>
        <w:rPr>
          <w:rFonts w:ascii="Arial" w:hAnsi="Arial"/>
          <w:color w:val="334155"/>
          <w:sz w:val="19"/>
        </w:rPr>
        <w:t>• Objectif UX : Créer une première impression institutionnelle irréprochable, rassurer sur l'agrément d'État et orienter instantanément chaque profil vers son portail dédié sans ambiguïté.</w:t>
        <w:br/>
        <w:t>• En-tête Institutionnel (Header) : Logo 'JF' bordeaux et or, référence officielle 'Cabinet Agréé par l'État à Grand-Lahou', contacts directs (07 59 56 11 50 / 07 08 37 01 01), sélecteur de langue (FR), badge PWA 'Installer l'App'.</w:t>
        <w:br/>
        <w:t>• Hero Section Lumineuse : Titre académique puissant ('L'Excellence Pédagogique au Service de Votre Avenir Professionnel'), présentation des filières phares (Aide-Soignante, Auxiliaire en Pharmacie, Caissière spécialisée).</w:t>
        <w:br/>
        <w:t>• Triade des Accès Sécurisés (3 Cartes Blanches Dédiées) :</w:t>
        <w:br/>
        <w:t xml:space="preserve">   1. Carte Espace Étudiant : Bouton rouge bordeaux 'Accès Étudiant (Matricule)' dirigeant vers /etudiant/login.</w:t>
        <w:br/>
        <w:t xml:space="preserve">   2. Carte Espace Enseignant : Bouton ardoise 'Accès Formateur' dirigeant vers /enseignant/login.</w:t>
        <w:br/>
        <w:t xml:space="preserve">   3. Carte Administration : Bouton discret 'Accès Direction &amp; Scolarité' dirigeant vers /admin/login.</w:t>
        <w:br/>
        <w:t>• Section Engagements &amp; Transparence : Présentation de la PWA installable, du fonctionnement hors-ligne, de la sécurité des bulletins et du système de vérification par QR code.</w:t>
      </w:r>
    </w:p>
    <w:p>
      <w:pPr>
        <w:keepNext/>
        <w:spacing w:before="240" w:after="120"/>
      </w:pPr>
      <w:r>
        <w:rPr>
          <w:rFonts w:ascii="Arial" w:hAnsi="Arial"/>
          <w:b/>
          <w:color w:val="7A1B29"/>
          <w:sz w:val="24"/>
        </w:rPr>
        <w:t>4.2 Les Portails d'Authentification Dédiés</w:t>
      </w:r>
    </w:p>
    <w:p>
      <w:pPr>
        <w:spacing w:line="276" w:lineRule="auto" w:after="120"/>
      </w:pPr>
      <w:r>
        <w:rPr>
          <w:rFonts w:ascii="Arial" w:hAnsi="Arial"/>
          <w:color w:val="334155"/>
          <w:sz w:val="19"/>
        </w:rPr>
        <w:t>Conformément aux exigences, les interfaces de connexion sont rigoureusement dissociées :</w:t>
        <w:br/>
        <w:br/>
        <w:t>A. Espace Étudiant (/etudiant/login) — Ergonomie Simplifiée Zéro Friction :</w:t>
        <w:br/>
        <w:t xml:space="preserve">   - Philosophie UX : Les étudiants ne doivent subir aucun blocage de mot de passe complexe oublié.</w:t>
        <w:br/>
        <w:t xml:space="preserve">   - Champ unique demandé : 'Matricule Étudiant Officiel' (ex : JF-2024-0042) avec masque de saisie automatique.</w:t>
        <w:br/>
        <w:t xml:space="preserve">   - Bouton de validation : 'Consulter mon Espace' (Bordeaux noble avec micro-animation fluide).</w:t>
        <w:br/>
        <w:t xml:space="preserve">   - Option de sécurité secondaire paramétrable : Vérification de la date de naissance si requis.</w:t>
        <w:br/>
        <w:br/>
        <w:t>B. Espace Enseignant (/enseignant/login) :</w:t>
        <w:br/>
        <w:t xml:space="preserve">   - Champs : Identifiant académique / Email professionnel + Mot de passe chiffré.</w:t>
        <w:br/>
        <w:t xml:space="preserve">   - Lien 'Mot de passe oublié ?' avec procédure de réinitialisation sécurisée par SMS/Email.</w:t>
        <w:br/>
        <w:br/>
        <w:t>C. Espace Administrateur (/admin/login) :</w:t>
        <w:br/>
        <w:t xml:space="preserve">   - Champs : Identifiant Administrateur + Mot de passe fort.</w:t>
        <w:br/>
        <w:t xml:space="preserve">   - Indicateur de session chiffrée HTTPS, journalisation de l'IP et horodatage strict de connexion.</w:t>
      </w:r>
    </w:p>
    <w:p>
      <w:r>
        <w:br w:type="page"/>
      </w:r>
    </w:p>
    <w:p>
      <w:pPr>
        <w:keepNext/>
        <w:spacing w:before="160" w:after="120"/>
      </w:pPr>
      <w:r>
        <w:rPr>
          <w:rFonts w:ascii="Arial" w:hAnsi="Arial"/>
          <w:b/>
          <w:color w:val="7A1B29"/>
          <w:sz w:val="24"/>
        </w:rPr>
        <w:t>4.3 L'Espace Administrateur (Centre de Pilotage)</w:t>
      </w:r>
    </w:p>
    <w:p>
      <w:pPr>
        <w:spacing w:line="276" w:lineRule="auto" w:after="120"/>
      </w:pPr>
      <w:r>
        <w:rPr>
          <w:rFonts w:ascii="Arial" w:hAnsi="Arial"/>
          <w:color w:val="334155"/>
          <w:sz w:val="19"/>
        </w:rPr>
        <w:t>L'interface administrateur est organisée autour d'une barre latérale blanche épurée et d'un espace central aéré :</w:t>
        <w:br/>
        <w:br/>
        <w:t>1. Tableau de Bord Global :</w:t>
        <w:br/>
        <w:t xml:space="preserve">   - Cartes KPIs : Effectif global (répartition AFF / NAFF), Total Scolarité attendu, Total encaissé, Reste à recouvrer.</w:t>
        <w:br/>
        <w:t xml:space="preserve">   - Barre d'alertes : Évaluations en cours, photos de surveillance suspectes à examiner, relances scolarité en attente.</w:t>
        <w:br/>
        <w:br/>
        <w:t>2. Module 1 — Gestion des Étudiants :</w:t>
        <w:br/>
        <w:t xml:space="preserve">   - Table dynamique avec pagination, filtres par classe/filière/statut AFF/NAFF.</w:t>
        <w:br/>
        <w:t xml:space="preserve">   - Module d'Import Excel : Glisser-déposer de fichiers existants, analyse de conformité, détection automatique des doublons, génération d'un rapport d'erreurs avant injection définitive dans la base.</w:t>
        <w:br/>
        <w:t xml:space="preserve">   - Fiche Étudiant détaillée : Photo d'identité, Matricule, Nom/Prénoms, Date et lieu de naissance, Sexe, Nationalité, Établissement d'origine, Contact d'urgence, Statut AFF/NAFF, Historique complet des années.</w:t>
        <w:br/>
        <w:br/>
        <w:t>3. Module 2 — Scolarité &amp; Gestion des Versements :</w:t>
        <w:br/>
        <w:t xml:space="preserve">   - Échéancier paramétrable (jusqu'à 8 versements par étudiant selon sa filière et son statut).</w:t>
        <w:br/>
        <w:t xml:space="preserve">   - Formulaire d'enregistrement d'un versement : Date, montant, mode (Espèces, Wave, Orange Money, Virement), référence.</w:t>
        <w:br/>
        <w:t xml:space="preserve">   - Génération instantanée du Reçu PDF Officiel : Numéroté automatiquement, réédible à tout moment, non supprimable (seule l'annulation motivée et tracée dans le journal d'audit est autorisée).</w:t>
        <w:br/>
        <w:t xml:space="preserve">   - Suivi des Impayés : Filtrage des retards et déclenchement de relances ciblées.</w:t>
        <w:br/>
        <w:br/>
        <w:t>4. Module 3 — Gestion des Enseignants &amp; Affectations :</w:t>
        <w:br/>
        <w:t xml:space="preserve">   - Fiche enseignant (Permanent ou Vacataire, contacts, diplômes).</w:t>
        <w:br/>
        <w:t xml:space="preserve">   - Affectations ciblées selon la formule mathématique : Enseignant + Discipline + Classe + Semestre = Périmètre de droits.</w:t>
        <w:br/>
        <w:t xml:space="preserve">   - Désignation du Formateur Principal par classe pour la synthèse du bulletin.</w:t>
        <w:br/>
        <w:br/>
        <w:t>5. Module 4 — Évaluations en Ligne &amp; Revue Anti-Triche :</w:t>
        <w:br/>
        <w:t xml:space="preserve">   - Cycle de vie : Validation administrative des fiches préparées par les formateurs, lancement officiel, clôture.</w:t>
        <w:br/>
        <w:t xml:space="preserve">   - Galerie de Surveillance Photo : Grille de revue des captures prises aléatoirement par webcam pendant l'épreuve. L'administrateur statue (Conforme / Suspect / Annulé) avec traçabilité complète.</w:t>
        <w:br/>
        <w:br/>
        <w:t>6. Module 5 — Édition &amp; Publication des Bulletins :</w:t>
        <w:br/>
        <w:t xml:space="preserve">   - Moteur de calcul automatique des moyennes semestrielles (M.S1, M.S2), de la moyenne annuelle, des rangs par discipline et du rang général sur l'effectif total.</w:t>
        <w:br/>
        <w:t xml:space="preserve">   - Saisie des appréciations globales du conseil de formation et visa du Directeur des Études.</w:t>
        <w:br/>
        <w:t xml:space="preserve">   - Publication verrouillée et génération des bulletins PDF individuels ou par lot de classe complet conforme au format officiel.</w:t>
      </w:r>
    </w:p>
    <w:p>
      <w:r>
        <w:br w:type="page"/>
      </w:r>
    </w:p>
    <w:p>
      <w:pPr>
        <w:keepNext/>
        <w:spacing w:before="160" w:after="120"/>
      </w:pPr>
      <w:r>
        <w:rPr>
          <w:rFonts w:ascii="Arial" w:hAnsi="Arial"/>
          <w:b/>
          <w:color w:val="7A1B29"/>
          <w:sz w:val="24"/>
        </w:rPr>
        <w:t>4.4 L'Espace Enseignant (Studio Pédagogique)</w:t>
      </w:r>
    </w:p>
    <w:p>
      <w:pPr>
        <w:spacing w:line="276" w:lineRule="auto" w:after="120"/>
      </w:pPr>
      <w:r>
        <w:rPr>
          <w:rFonts w:ascii="Arial" w:hAnsi="Arial"/>
          <w:color w:val="334155"/>
          <w:sz w:val="19"/>
        </w:rPr>
        <w:t>L'enseignant dispose d'un environnement de travail centré sur ses missions pédagogiques précises :</w:t>
        <w:br/>
        <w:br/>
        <w:t>1. Tableau de bord Enseignant :</w:t>
        <w:br/>
        <w:t xml:space="preserve">   - Affichage exclusif de ses classes et matières assignées.</w:t>
        <w:br/>
        <w:t xml:space="preserve">   - Indicateurs : Évaluations créées, épreuves à corriger, notes en attente de publication, calendrier des sessions.</w:t>
        <w:br/>
        <w:br/>
        <w:t>2. Concepteur de Fiches d'Évaluation &amp; Banque de Questions :</w:t>
        <w:br/>
        <w:t xml:space="preserve">   - Création intuitive de sujets avec types de questions modulables :</w:t>
        <w:br/>
        <w:t xml:space="preserve">     * Choix Unique (QCM)</w:t>
        <w:br/>
        <w:t xml:space="preserve">     * Choix Multiples</w:t>
        <w:br/>
        <w:t xml:space="preserve">     * Vrai / Faux</w:t>
        <w:br/>
        <w:t xml:space="preserve">     * Réponse Courte textuelle</w:t>
        <w:br/>
        <w:t xml:space="preserve">     * Question Ouverte avec barème libre (converti sur 20 automatiquement)</w:t>
        <w:br/>
        <w:t xml:space="preserve">     * Support d'illustrations et schémas médicaux / comptables.</w:t>
        <w:br/>
        <w:t xml:space="preserve">   - Paramétrage de session : Durée chronométrée, ordre aléatoire des questions et propositions, date limite.</w:t>
        <w:br/>
        <w:t xml:space="preserve">   - Banque de questions réutilisable d'une année sur l'autre et fonction 'Aperçu comme un étudiant'.</w:t>
        <w:br/>
        <w:br/>
        <w:t>3. Studio de Correction &amp; Saisie des Notes :</w:t>
        <w:br/>
        <w:t xml:space="preserve">   - Correction automatique instantanée pour les questions objectives.</w:t>
        <w:br/>
        <w:t xml:space="preserve">   - Interface de correction fluide pour les questions ouvertes avec motivation de la note attribuée.</w:t>
        <w:br/>
        <w:t xml:space="preserve">   - Grille de saisie de notes hors-ligne avec prise en charge d'imports de fichiers Excel pré-formatés.</w:t>
        <w:br/>
        <w:t xml:space="preserve">   - Gestion statutaire fine : Distinction entre étudiant Noté, Absent justifié, Absent non justifié ou Dispensé.</w:t>
        <w:br/>
        <w:br/>
        <w:t>4. Saisie des Appréciations du Bulletin :</w:t>
        <w:br/>
        <w:t xml:space="preserve">   - Interface dédiée permettant de rédiger pour chaque étudiant l'appréciation disciplinaire qui figurera automatiquement en face du nom de l'enseignant sur le bulletin officiel.</w:t>
      </w:r>
    </w:p>
    <w:p>
      <w:pPr>
        <w:keepNext/>
        <w:spacing w:before="240" w:after="120"/>
      </w:pPr>
      <w:r>
        <w:rPr>
          <w:rFonts w:ascii="Arial" w:hAnsi="Arial"/>
          <w:b/>
          <w:color w:val="7A1B29"/>
          <w:sz w:val="24"/>
        </w:rPr>
        <w:t>4.5 L'Espace Étudiant (Portail Apprenant)</w:t>
      </w:r>
    </w:p>
    <w:p>
      <w:pPr>
        <w:spacing w:line="276" w:lineRule="auto" w:after="120"/>
      </w:pPr>
      <w:r>
        <w:rPr>
          <w:rFonts w:ascii="Arial" w:hAnsi="Arial"/>
          <w:color w:val="334155"/>
          <w:sz w:val="19"/>
        </w:rPr>
        <w:t>L'espace étudiant est conçu pour être limpide, valorisant et utilisable sur tout smartphone même avec une 3G modeste :</w:t>
        <w:br/>
        <w:br/>
        <w:t>1. Tableau de Bord Personnel :</w:t>
        <w:br/>
        <w:t xml:space="preserve">   - Carte d'identité académique avec photo, matricule officiel et filière.</w:t>
        <w:br/>
        <w:t xml:space="preserve">   - Prochaines évaluations programmées avec badge de compte à rebours.</w:t>
        <w:br/>
        <w:t xml:space="preserve">   - Derniers résultats publiés avec moyennes et badges de réussite.</w:t>
        <w:br/>
        <w:br/>
        <w:t>2. Interface de Composition Chronométrée (Épreuve en Ligne) :</w:t>
        <w:br/>
        <w:t xml:space="preserve">   - Étape de Consentement Préalable : Information transparente sur l'activation de la webcam pour la surveillance (conformité avec la loi ivoirienne 2013-450 sur la protection des données à caractère personnel).</w:t>
        <w:br/>
        <w:t xml:space="preserve">   - Écran de Composition Immersif : Minuteur flottant non stressant, navigation par onglets de questions, sauvegarde locale continue dans le cache du navigateur (IndexedDB/PWA).</w:t>
        <w:br/>
        <w:t xml:space="preserve">   - Résilience Réseau : En cas de coupure de réseau, l'étudiant continue de répondre ; les données se synchronisent dès rétablissement du signal. Soumission automatique sécurisée à l'expiration du temps imparti.</w:t>
        <w:br/>
        <w:br/>
        <w:t>3. Consultation Détaillée des Notes :</w:t>
        <w:br/>
        <w:t xml:space="preserve">   - Visualisation du score final, du nombre de bonnes et mauvaises réponses et des corrigés (si autorisés).</w:t>
        <w:br/>
        <w:t xml:space="preserve">   - Affichage rassurant du statut de la surveillance photo ('Épreuve validée').</w:t>
        <w:br/>
        <w:br/>
        <w:t>4. Situation de Scolarité &amp; Reçus de Caisse :</w:t>
        <w:br/>
        <w:t xml:space="preserve">   - Synthèse financière limpide : Montant total dû, total déjà versé, solde restant à payer.</w:t>
        <w:br/>
        <w:t xml:space="preserve">   - Tableau de l'historique de chaque versement avec bouton de téléchargement instantané du Reçu PDF numéroté.</w:t>
        <w:br/>
        <w:br/>
        <w:t>5. Téléchargement des Bulletins de Notes Officiels :</w:t>
        <w:br/>
        <w:t xml:space="preserve">   - Dès validation et publication par l'administration, l'étudiant peut télécharger son bulletin officiel en PDF haute définition, muni des signatures, tampons et du QR code d'authenticité.</w:t>
      </w:r>
    </w:p>
    <w:p>
      <w:r>
        <w:br w:type="page"/>
      </w:r>
    </w:p>
    <w:p>
      <w:pPr>
        <w:keepNext/>
        <w:spacing w:before="320" w:after="120"/>
      </w:pPr>
      <w:r>
        <w:rPr>
          <w:rFonts w:ascii="Arial" w:hAnsi="Arial"/>
          <w:b/>
          <w:color w:val="7A1B29"/>
          <w:sz w:val="30"/>
        </w:rPr>
        <w:t>5. Architecture Technique Front-End &amp; Préparation Backend</w:t>
      </w:r>
    </w:p>
    <w:p>
      <w:pPr>
        <w:spacing w:line="276" w:lineRule="auto" w:after="160"/>
      </w:pPr>
      <w:r>
        <w:rPr>
          <w:rFonts w:ascii="Arial" w:hAnsi="Arial"/>
          <w:color w:val="334155"/>
          <w:sz w:val="19"/>
        </w:rPr>
        <w:t>Pour assurer une maintenabilité maximale et faciliter la future intégration des API Backend, le projet respecte les principes de la 'Clean Frontend Architecture'. Les modules d'interface sont découplés des sources de données :</w:t>
        <w:br/>
        <w:br/>
        <w:t>• Typage TypeScript Strict (/src/core/types/) : Modèles unifiés pour Étudiant, Enseignant, Évaluation, Question, Versement, Bulletin.</w:t>
        <w:br/>
        <w:t>• Couche de Services Abstraite (/src/services/) : Chaque module (studentService, examService, tuitionService, reportCardService) expose des méthodes asynchrones. Actuellement alimentées par des données simulées réalistes, elles seront commutables vers les endpoints REST/GraphQL en modifiant une simple variable d'environnement.</w:t>
        <w:br/>
        <w:t>• Système de Composants Atomiques (/src/components/ui/) : Boutons primaires bordeaux, cartes blanches à micro-bordures, tableaux de données avec tri, modales accessibles et champs de formulaires réactifs.</w:t>
        <w:br/>
        <w:t>• Gestion PWA &amp; Service Worker (/src/hooks/usePWA.ts) : Détection de statut réseau 'Online / Offline' en temps réel, mise en cache des ressources statiques et invite d'installation sur bureau ou smartphone.</w:t>
      </w:r>
    </w:p>
    <w:tbl>
      <w:tblPr>
        <w:tblW w:type="auto" w:w="0"/>
        <w:jc w:val="center"/>
        <w:tblLayout w:type="fixed"/>
        <w:tblLook w:firstColumn="1" w:firstRow="1" w:lastColumn="0" w:lastRow="0" w:noHBand="0" w:noVBand="1" w:val="04A0"/>
      </w:tblPr>
      <w:tblGrid>
        <w:gridCol w:w="9360"/>
      </w:tblGrid>
      <w:tr>
        <w:tc>
          <w:tcPr>
            <w:tcW w:type="dxa" w:w="9936"/>
            <w:shd w:fill="FFFDF5"/>
            <w:tcMar>
              <w:top w:w="160" w:type="dxa"/>
              <w:bottom w:w="160" w:type="dxa"/>
              <w:left w:w="240" w:type="dxa"/>
              <w:right w:w="200" w:type="dxa"/>
            </w:tcMar>
            <w:tcBorders>
              <w:top w:val="none"/>
              <w:left w:val="single" w:sz="36" w:space="0" w:color="C59B27"/>
              <w:bottom w:val="none"/>
              <w:right w:val="none"/>
            </w:tcBorders>
          </w:tcPr>
          <w:p>
            <w:pPr>
              <w:spacing w:before="0" w:after="80"/>
            </w:pPr>
            <w:r>
              <w:rPr>
                <w:rFonts w:ascii="Arial" w:hAnsi="Arial"/>
                <w:b/>
                <w:color w:val="7A1B29"/>
                <w:sz w:val="21"/>
              </w:rPr>
              <w:t>📌 Garantie d'Évolution Technique</w:t>
              <w:br/>
            </w:r>
            <w:r>
              <w:rPr>
                <w:rFonts w:ascii="Arial" w:hAnsi="Arial"/>
                <w:color w:val="334155"/>
                <w:sz w:val="19"/>
              </w:rPr>
              <w:t>Cette architecture permet d'implémenter l'ensemble des maquettes interactives dès aujourd'hui sans bloquer le design, tout en garantissant un coût d'interconnexion backend quasi-nul lors de la phase d'API.</w:t>
            </w:r>
          </w:p>
        </w:tc>
      </w:tr>
    </w:tbl>
    <w:p>
      <w:pPr>
        <w:spacing w:after="120"/>
      </w:pPr>
    </w:p>
    <w:p>
      <w:pPr>
        <w:spacing w:before="320" w:after="80"/>
      </w:pPr>
      <w:r>
        <w:rPr>
          <w:rFonts w:ascii="Arial" w:hAnsi="Arial"/>
          <w:b/>
          <w:color w:val="7A1B29"/>
          <w:sz w:val="20"/>
        </w:rPr>
        <w:t>Document validé pour la phase de réalisation des maquettes interactives.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