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FFB65" w14:textId="77777777" w:rsidR="00B64C74" w:rsidRDefault="00000000">
      <w:pPr>
        <w:pStyle w:val="Title"/>
      </w:pPr>
      <w:r>
        <w:t>Two North Finchley sample stops</w:t>
      </w:r>
    </w:p>
    <w:p w14:paraId="100C0A57" w14:textId="77777777" w:rsidR="00B64C74" w:rsidRDefault="00000000">
      <w:r>
        <w:t>For Sidi to review and comment on  •  16 September 2026</w:t>
      </w:r>
    </w:p>
    <w:p w14:paraId="38F56B5F" w14:textId="77777777" w:rsidR="00B64C74" w:rsidRDefault="00000000">
      <w:r>
        <w:t>Two different tones within one possible walk about the local lives behind familiar places. These are desk drafts; the route and viewpoints are still to be checked.</w:t>
      </w:r>
    </w:p>
    <w:p w14:paraId="3A24E518" w14:textId="77777777" w:rsidR="00B64C74" w:rsidRDefault="00000000">
      <w:pPr>
        <w:pStyle w:val="Heading1"/>
      </w:pPr>
      <w:r>
        <w:t>Sample A A name that would fit on a postcard</w:t>
      </w:r>
    </w:p>
    <w:p w14:paraId="34758B6F" w14:textId="77777777" w:rsidR="00B64C74" w:rsidRDefault="00000000">
      <w:r>
        <w:t>Tally Ho Corner • Light and conversational</w:t>
      </w:r>
    </w:p>
    <w:p w14:paraId="1C72E044" w14:textId="77777777" w:rsidR="00B64C74" w:rsidRDefault="00000000">
      <w:r>
        <w:t>166 words • Local draft recording 62 seconds • Planned stationary story</w:t>
      </w:r>
    </w:p>
    <w:p w14:paraId="7E125A5B" w14:textId="77777777" w:rsidR="00B64C74" w:rsidRDefault="00000000">
      <w:pPr>
        <w:pStyle w:val="Heading2"/>
      </w:pPr>
      <w:r>
        <w:t>Narration</w:t>
      </w:r>
    </w:p>
    <w:p w14:paraId="2121441B" w14:textId="77777777" w:rsidR="00B64C74" w:rsidRDefault="00000000">
      <w:r>
        <w:rPr>
          <w:sz w:val="24"/>
        </w:rPr>
        <w:t>Tally Ho is quite a name for a road junction. There are competing stories about where it came from, including one involving a coaching company. But a Victorian cyclist offered a wonderfully practical explanation: his friend needed something shorter to write on a postcard.</w:t>
      </w:r>
    </w:p>
    <w:p w14:paraId="143E7AA1" w14:textId="77777777" w:rsidR="00B64C74" w:rsidRDefault="00000000">
      <w:r>
        <w:rPr>
          <w:sz w:val="24"/>
        </w:rPr>
        <w:t>In an account published in 1880, a writer calling himself Le Voyageur described meeting a friend here for bicycle rides. They arrived by different roads, and kept having to refer to the same junction. His friend eventually tired of writing “Junction of North and Finchley roads” and came up with Tally Ho Corner.</w:t>
      </w:r>
    </w:p>
    <w:p w14:paraId="3BF33C85" w14:textId="77777777" w:rsidR="00B64C74" w:rsidRDefault="00000000">
      <w:r>
        <w:rPr>
          <w:sz w:val="24"/>
        </w:rPr>
        <w:t>According to the writer, the name spread through cycling notices, and a local hotel put it above the door.</w:t>
      </w:r>
    </w:p>
    <w:p w14:paraId="7D657F79" w14:textId="77777777" w:rsidR="00B64C74" w:rsidRDefault="00000000">
      <w:r>
        <w:rPr>
          <w:sz w:val="24"/>
        </w:rPr>
        <w:t>That account doesn't settle who used the name first. But it gives this junction a rather familiar role: the place where you wait for the person coming from the other direction. Next time you arrange to meet at Tally Ho, you'll have something in common with that impatient postcard writer.</w:t>
      </w:r>
    </w:p>
    <w:p w14:paraId="39D837E6" w14:textId="77777777" w:rsidR="00B64C74" w:rsidRDefault="00000000">
      <w:pPr>
        <w:pStyle w:val="Heading2"/>
      </w:pPr>
      <w:commentRangeStart w:id="0"/>
      <w:r>
        <w:t>For your comments</w:t>
      </w:r>
      <w:commentRangeEnd w:id="0"/>
      <w:r w:rsidR="0061033C">
        <w:rPr>
          <w:rStyle w:val="CommentReference"/>
          <w:rFonts w:ascii="Calibri" w:eastAsiaTheme="minorEastAsia" w:hAnsi="Calibri" w:cstheme="minorBidi"/>
          <w:b w:val="0"/>
          <w:bCs w:val="0"/>
        </w:rPr>
        <w:commentReference w:id="0"/>
      </w:r>
    </w:p>
    <w:p w14:paraId="36E53E75" w14:textId="77777777" w:rsidR="00B64C74" w:rsidRDefault="00000000">
      <w:r>
        <w:t>Does the anecdote earn a place on the walk? Does the uncertainty feel natural, or interrupt the story?</w:t>
      </w:r>
    </w:p>
    <w:p w14:paraId="1399E86C" w14:textId="77777777" w:rsidR="00B64C74" w:rsidRDefault="00000000">
      <w:r>
        <w:br w:type="page"/>
      </w:r>
    </w:p>
    <w:p w14:paraId="12762984" w14:textId="77777777" w:rsidR="00B64C74" w:rsidRDefault="00000000">
      <w:pPr>
        <w:pStyle w:val="Heading1"/>
      </w:pPr>
      <w:r>
        <w:lastRenderedPageBreak/>
        <w:t>Sample B The street beneath the car park</w:t>
      </w:r>
    </w:p>
    <w:p w14:paraId="5A235BDB" w14:textId="77777777" w:rsidR="00B64C74" w:rsidRDefault="00000000">
      <w:r>
        <w:t>Lodge Lane memorial bench area • Quiet and reflective</w:t>
      </w:r>
    </w:p>
    <w:p w14:paraId="1987D586" w14:textId="77777777" w:rsidR="00B64C74" w:rsidRDefault="00000000">
      <w:r>
        <w:t>165 words • Local draft recording 63 seconds • Planned stationary story</w:t>
      </w:r>
    </w:p>
    <w:p w14:paraId="0B173DEA" w14:textId="77777777" w:rsidR="00B64C74" w:rsidRDefault="00000000">
      <w:pPr>
        <w:pStyle w:val="Heading2"/>
      </w:pPr>
      <w:r>
        <w:t>Narration</w:t>
      </w:r>
    </w:p>
    <w:p w14:paraId="15AEF162" w14:textId="77777777" w:rsidR="00B64C74" w:rsidRDefault="00000000">
      <w:r>
        <w:rPr>
          <w:sz w:val="24"/>
        </w:rPr>
        <w:t>There used to be another street here. William Street ran through what is now Lodge Lane car park.</w:t>
      </w:r>
    </w:p>
    <w:p w14:paraId="736EF8FE" w14:textId="77777777" w:rsidR="00B64C74" w:rsidRDefault="00000000">
      <w:r>
        <w:rPr>
          <w:sz w:val="24"/>
        </w:rPr>
        <w:t xml:space="preserve">Barnet Council records that, across William Street, Albert Street and Lodge Lane, </w:t>
      </w:r>
      <w:commentRangeStart w:id="1"/>
      <w:r>
        <w:rPr>
          <w:sz w:val="24"/>
        </w:rPr>
        <w:t>there were 114 houses from which 111 men</w:t>
      </w:r>
      <w:commentRangeEnd w:id="1"/>
      <w:r w:rsidR="0061033C">
        <w:rPr>
          <w:rStyle w:val="CommentReference"/>
        </w:rPr>
        <w:commentReference w:id="1"/>
      </w:r>
      <w:r>
        <w:rPr>
          <w:sz w:val="24"/>
        </w:rPr>
        <w:t xml:space="preserve"> went to fight in the First World War. At least nine were killed.</w:t>
      </w:r>
    </w:p>
    <w:p w14:paraId="0353118D" w14:textId="77777777" w:rsidR="00B64C74" w:rsidRDefault="00000000">
      <w:commentRangeStart w:id="2"/>
      <w:r>
        <w:rPr>
          <w:sz w:val="24"/>
        </w:rPr>
        <w:t xml:space="preserve">One of the men remembered here is </w:t>
      </w:r>
      <w:commentRangeEnd w:id="2"/>
      <w:r w:rsidR="0061033C">
        <w:rPr>
          <w:rStyle w:val="CommentReference"/>
        </w:rPr>
        <w:commentReference w:id="2"/>
      </w:r>
      <w:r>
        <w:rPr>
          <w:sz w:val="24"/>
        </w:rPr>
        <w:t>John Parr, who lived on Lodge Lane. He was seventeen when he died in Belgium in August 1914, and is believed to have been the first British soldier killed in action on the Western Front.</w:t>
      </w:r>
    </w:p>
    <w:p w14:paraId="24D509A5" w14:textId="77777777" w:rsidR="00B64C74" w:rsidRDefault="00000000">
      <w:commentRangeStart w:id="3"/>
      <w:r>
        <w:rPr>
          <w:sz w:val="24"/>
        </w:rPr>
        <w:t>The bench is a recent addition to his story. The council installed it in 2025 after a soldier silhouette commemorating him was stolen.</w:t>
      </w:r>
      <w:commentRangeEnd w:id="3"/>
      <w:r w:rsidR="0061033C">
        <w:rPr>
          <w:rStyle w:val="CommentReference"/>
        </w:rPr>
        <w:commentReference w:id="3"/>
      </w:r>
    </w:p>
    <w:p w14:paraId="1BDFB3FF" w14:textId="77777777" w:rsidR="00B64C74" w:rsidRDefault="00000000">
      <w:r>
        <w:rPr>
          <w:sz w:val="24"/>
        </w:rPr>
        <w:t xml:space="preserve">Parr's name gives us one person to follow. The figures for these three streets give us a sense of the neighbourhood around him. </w:t>
      </w:r>
      <w:commentRangeStart w:id="4"/>
      <w:r>
        <w:rPr>
          <w:sz w:val="24"/>
        </w:rPr>
        <w:t xml:space="preserve">Looking across the car park, there's room to picture the missing street: houses, front doors, </w:t>
      </w:r>
      <w:proofErr w:type="spellStart"/>
      <w:r>
        <w:rPr>
          <w:sz w:val="24"/>
        </w:rPr>
        <w:t>neighbours</w:t>
      </w:r>
      <w:commentRangeEnd w:id="4"/>
      <w:proofErr w:type="spellEnd"/>
      <w:r w:rsidR="0061033C">
        <w:rPr>
          <w:rStyle w:val="CommentReference"/>
        </w:rPr>
        <w:commentReference w:id="4"/>
      </w:r>
      <w:r>
        <w:rPr>
          <w:sz w:val="24"/>
        </w:rPr>
        <w:t xml:space="preserve">. </w:t>
      </w:r>
      <w:commentRangeStart w:id="5"/>
      <w:r>
        <w:rPr>
          <w:sz w:val="24"/>
        </w:rPr>
        <w:t>Those are the surroundings this memorial asks us to remember</w:t>
      </w:r>
      <w:commentRangeEnd w:id="5"/>
      <w:r w:rsidR="0061033C">
        <w:rPr>
          <w:rStyle w:val="CommentReference"/>
        </w:rPr>
        <w:commentReference w:id="5"/>
      </w:r>
      <w:r>
        <w:rPr>
          <w:sz w:val="24"/>
        </w:rPr>
        <w:t>.</w:t>
      </w:r>
    </w:p>
    <w:p w14:paraId="7008F8D4" w14:textId="77777777" w:rsidR="00B64C74" w:rsidRDefault="00000000">
      <w:pPr>
        <w:pStyle w:val="Heading2"/>
      </w:pPr>
      <w:commentRangeStart w:id="6"/>
      <w:r>
        <w:t>For your comments</w:t>
      </w:r>
      <w:commentRangeEnd w:id="6"/>
      <w:r w:rsidR="0061033C">
        <w:rPr>
          <w:rStyle w:val="CommentReference"/>
          <w:rFonts w:ascii="Calibri" w:eastAsiaTheme="minorEastAsia" w:hAnsi="Calibri" w:cstheme="minorBidi"/>
          <w:b w:val="0"/>
          <w:bCs w:val="0"/>
        </w:rPr>
        <w:commentReference w:id="6"/>
      </w:r>
    </w:p>
    <w:p w14:paraId="233EC9E3" w14:textId="77777777" w:rsidR="00B64C74" w:rsidRDefault="00000000">
      <w:r>
        <w:t xml:space="preserve">Does this feel quietly interesting or too solemn? Are the </w:t>
      </w:r>
      <w:commentRangeStart w:id="7"/>
      <w:r>
        <w:t>figures easy to follow</w:t>
      </w:r>
      <w:commentRangeEnd w:id="7"/>
      <w:r w:rsidR="0061033C">
        <w:rPr>
          <w:rStyle w:val="CommentReference"/>
        </w:rPr>
        <w:commentReference w:id="7"/>
      </w:r>
      <w:r>
        <w:t xml:space="preserve">? Is the final paragraph helpful or </w:t>
      </w:r>
      <w:commentRangeStart w:id="8"/>
      <w:r>
        <w:t>over-written</w:t>
      </w:r>
      <w:commentRangeEnd w:id="8"/>
      <w:r w:rsidR="0061033C">
        <w:rPr>
          <w:rStyle w:val="CommentReference"/>
        </w:rPr>
        <w:commentReference w:id="8"/>
      </w:r>
      <w:r>
        <w:t>?</w:t>
      </w:r>
    </w:p>
    <w:p w14:paraId="3AD3E075" w14:textId="77777777" w:rsidR="00B64C74" w:rsidRDefault="00000000">
      <w:r>
        <w:t xml:space="preserve">Both, </w:t>
      </w:r>
      <w:commentRangeStart w:id="9"/>
      <w:r>
        <w:t xml:space="preserve">either </w:t>
      </w:r>
      <w:commentRangeEnd w:id="9"/>
      <w:r w:rsidR="0061033C">
        <w:rPr>
          <w:rStyle w:val="CommentReference"/>
        </w:rPr>
        <w:commentReference w:id="9"/>
      </w:r>
      <w:r>
        <w:t>or neither can work. We are judging the writing and range of tone, rather than choosing between two complete tours.</w:t>
      </w:r>
    </w:p>
    <w:p w14:paraId="6D56BDEB" w14:textId="77777777" w:rsidR="00B64C74" w:rsidRDefault="00000000">
      <w:r>
        <w:br w:type="page"/>
      </w:r>
    </w:p>
    <w:p w14:paraId="33C0E346" w14:textId="77777777" w:rsidR="00B64C74" w:rsidRDefault="00000000">
      <w:pPr>
        <w:pStyle w:val="Heading1"/>
      </w:pPr>
      <w:r>
        <w:lastRenderedPageBreak/>
        <w:t>Sources and preparation notes</w:t>
      </w:r>
    </w:p>
    <w:p w14:paraId="09DBB47F" w14:textId="77777777" w:rsidR="00B64C74" w:rsidRDefault="00000000">
      <w:r>
        <w:t>The source record maps narration paragraphs to supporting passages and retains the disagreements. The links below are the principal sources. All were checked on 16 September 2026.</w:t>
      </w:r>
    </w:p>
    <w:p w14:paraId="4CA82B3A" w14:textId="77777777" w:rsidR="00B64C74" w:rsidRDefault="00000000">
      <w:pPr>
        <w:pStyle w:val="Heading2"/>
      </w:pPr>
      <w:r>
        <w:t>Sample A</w:t>
      </w:r>
    </w:p>
    <w:p w14:paraId="6A8F27A9" w14:textId="77777777" w:rsidR="00B64C74" w:rsidRDefault="00000000">
      <w:hyperlink r:id="rId12">
        <w:r>
          <w:rPr>
            <w:color w:val="215A80"/>
            <w:u w:val="single"/>
          </w:rPr>
          <w:t>North Finchley Town Centre — reproduced 1880 cyclist account</w:t>
        </w:r>
      </w:hyperlink>
    </w:p>
    <w:p w14:paraId="10F16533" w14:textId="77777777" w:rsidR="00B64C74" w:rsidRDefault="00000000">
      <w:hyperlink r:id="rId13">
        <w:r>
          <w:rPr>
            <w:color w:val="215A80"/>
            <w:u w:val="single"/>
          </w:rPr>
          <w:t>J D Wetherspoon — the coaching origin account</w:t>
        </w:r>
      </w:hyperlink>
    </w:p>
    <w:p w14:paraId="17C41119" w14:textId="77777777" w:rsidR="00B64C74" w:rsidRDefault="00000000">
      <w:hyperlink r:id="rId14">
        <w:r>
          <w:rPr>
            <w:color w:val="215A80"/>
            <w:u w:val="single"/>
          </w:rPr>
          <w:t>Londonist — investigation updated 13 February 2025</w:t>
        </w:r>
      </w:hyperlink>
    </w:p>
    <w:p w14:paraId="57D0AF11" w14:textId="77777777" w:rsidR="00B64C74" w:rsidRDefault="00000000">
      <w:r>
        <w:t>The cyclist account is attributed in speech. Its original printed source was not independently inspected. Evidence for a coaching service does not settle when this particular corner acquired its name.</w:t>
      </w:r>
    </w:p>
    <w:p w14:paraId="7BD907D9" w14:textId="77777777" w:rsidR="00B64C74" w:rsidRDefault="00000000">
      <w:pPr>
        <w:pStyle w:val="Heading2"/>
      </w:pPr>
      <w:r>
        <w:t>Sample B</w:t>
      </w:r>
    </w:p>
    <w:p w14:paraId="500F0685" w14:textId="77777777" w:rsidR="00B64C74" w:rsidRDefault="00000000">
      <w:hyperlink r:id="rId15">
        <w:r>
          <w:rPr>
            <w:color w:val="215A80"/>
            <w:u w:val="single"/>
          </w:rPr>
          <w:t>Barnet Council — replacement memorial notice of 6 November 2025</w:t>
        </w:r>
      </w:hyperlink>
    </w:p>
    <w:p w14:paraId="6B79EB5D" w14:textId="77777777" w:rsidR="00B64C74" w:rsidRDefault="00000000">
      <w:hyperlink r:id="rId16">
        <w:r>
          <w:rPr>
            <w:color w:val="215A80"/>
            <w:u w:val="single"/>
          </w:rPr>
          <w:t>Commonwealth War Graves Commission — John Parr commemorative post</w:t>
        </w:r>
      </w:hyperlink>
    </w:p>
    <w:p w14:paraId="3F4740D4" w14:textId="77777777" w:rsidR="00B64C74" w:rsidRDefault="00000000">
      <w:hyperlink r:id="rId17">
        <w:r>
          <w:rPr>
            <w:color w:val="215A80"/>
            <w:u w:val="single"/>
          </w:rPr>
          <w:t>Western Front Association — qualification on first casualty</w:t>
        </w:r>
      </w:hyperlink>
    </w:p>
    <w:p w14:paraId="2B8ECA07" w14:textId="77777777" w:rsidR="00B64C74" w:rsidRDefault="00000000">
      <w:r>
        <w:t>The council notice was available as indexed page text; direct opening returned an access error. The older candidate record described a silhouette, which has since been replaced. Present condition and a suitable public viewpoint remain to be checked. The closing interpretation is ours, not a quotation of the memorial designer’s intention.</w:t>
      </w:r>
    </w:p>
    <w:p w14:paraId="1FE92D2F" w14:textId="77777777" w:rsidR="00B64C74" w:rsidRDefault="00000000">
      <w:pPr>
        <w:pStyle w:val="Heading2"/>
      </w:pPr>
      <w:r>
        <w:t>Listening and route limits</w:t>
      </w:r>
    </w:p>
    <w:p w14:paraId="4F773838" w14:textId="77777777" w:rsidR="00B64C74" w:rsidRDefault="00000000">
      <w:r>
        <w:t>Both files use the same installed Daniel voice at 145 words per minute, with no music. File durations are measured, but no audible owner review has occurred. These are private editing aids, not the final voice or delivery. No paid speech service was used.</w:t>
      </w:r>
    </w:p>
    <w:p w14:paraId="2BB49583" w14:textId="77777777" w:rsidR="00B64C74" w:rsidRDefault="00000000">
      <w:r>
        <w:t>The drafts contain no turn instructions. Neither their duration nor their proximity establishes a workable walking leg. If retained, we will fit them into the reviewed route and adjust narration, pauses and silence together.</w:t>
      </w:r>
    </w:p>
    <w:sectPr w:rsidR="00B64C74" w:rsidSect="00034616">
      <w:headerReference w:type="even" r:id="rId18"/>
      <w:headerReference w:type="default" r:id="rId19"/>
      <w:footerReference w:type="even" r:id="rId20"/>
      <w:footerReference w:type="default" r:id="rId21"/>
      <w:headerReference w:type="first" r:id="rId22"/>
      <w:footerReference w:type="first" r:id="rId23"/>
      <w:pgSz w:w="12240" w:h="15840"/>
      <w:pgMar w:top="1080" w:right="1224" w:bottom="1080" w:left="1224" w:header="432" w:footer="43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di Lemine" w:date="2026-09-16T21:38:00Z" w:initials="SL">
    <w:p w14:paraId="4ACE351D" w14:textId="77777777" w:rsidR="0061033C" w:rsidRDefault="0061033C" w:rsidP="0061033C">
      <w:r>
        <w:rPr>
          <w:rStyle w:val="CommentReference"/>
        </w:rPr>
        <w:annotationRef/>
      </w:r>
      <w:r>
        <w:rPr>
          <w:sz w:val="20"/>
          <w:szCs w:val="20"/>
        </w:rPr>
        <w:t>I like the tone and the quirkyness of it but I think it should come after something just a litle more conventional. Ideally I would build around a factual anchor: the coaching inn. Start with the crossroads and where it came from (must be old roads, how old? Roman? medieval? where was it going to and from, for what, for who?), then it leading naturally to being a coaching station (tally ho), and then the quirky anecdote, and maybe something short about what it is today if anything remarkable and positive is found (I don't think that's the case for current day tally ho). Obviously that's a lot so we'd want to probably gauge how many of these we can / want to string together depending on how long we feel we have (and user preferences re. length and interests when we get to that)</w:t>
      </w:r>
    </w:p>
  </w:comment>
  <w:comment w:id="1" w:author="Sidi Lemine" w:date="2026-09-16T21:42:00Z" w:initials="SL">
    <w:p w14:paraId="7B21CE54" w14:textId="77777777" w:rsidR="0061033C" w:rsidRDefault="0061033C" w:rsidP="0061033C">
      <w:r>
        <w:rPr>
          <w:rStyle w:val="CommentReference"/>
        </w:rPr>
        <w:annotationRef/>
      </w:r>
      <w:r>
        <w:rPr>
          <w:sz w:val="20"/>
          <w:szCs w:val="20"/>
        </w:rPr>
        <w:t xml:space="preserve">Is this a lot? How is the user supposed to feel about it? </w:t>
      </w:r>
    </w:p>
  </w:comment>
  <w:comment w:id="2" w:author="Sidi Lemine" w:date="2026-09-16T21:43:00Z" w:initials="SL">
    <w:p w14:paraId="0C2A8A94" w14:textId="77777777" w:rsidR="0061033C" w:rsidRDefault="0061033C" w:rsidP="0061033C">
      <w:r>
        <w:rPr>
          <w:rStyle w:val="CommentReference"/>
        </w:rPr>
        <w:annotationRef/>
      </w:r>
      <w:r>
        <w:rPr>
          <w:sz w:val="20"/>
          <w:szCs w:val="20"/>
        </w:rPr>
        <w:t>He is THE one remembered here, so we would say "one of them is remembered here"</w:t>
      </w:r>
    </w:p>
  </w:comment>
  <w:comment w:id="3" w:author="Sidi Lemine" w:date="2026-09-16T21:43:00Z" w:initials="SL">
    <w:p w14:paraId="2B679D9B" w14:textId="77777777" w:rsidR="0061033C" w:rsidRDefault="0061033C" w:rsidP="0061033C">
      <w:r>
        <w:rPr>
          <w:rStyle w:val="CommentReference"/>
        </w:rPr>
        <w:annotationRef/>
      </w:r>
      <w:r>
        <w:rPr>
          <w:sz w:val="20"/>
          <w:szCs w:val="20"/>
        </w:rPr>
        <w:t>Not positive, not meaningful</w:t>
      </w:r>
    </w:p>
  </w:comment>
  <w:comment w:id="4" w:author="Sidi Lemine" w:date="2026-09-16T21:44:00Z" w:initials="SL">
    <w:p w14:paraId="307B5B24" w14:textId="77777777" w:rsidR="0061033C" w:rsidRDefault="0061033C" w:rsidP="0061033C">
      <w:r>
        <w:rPr>
          <w:rStyle w:val="CommentReference"/>
        </w:rPr>
        <w:annotationRef/>
      </w:r>
      <w:r>
        <w:rPr>
          <w:sz w:val="20"/>
          <w:szCs w:val="20"/>
        </w:rPr>
        <w:t>Not great - rather than telling them something is missing we would paint an evocative picture if that's the point of the stop</w:t>
      </w:r>
    </w:p>
  </w:comment>
  <w:comment w:id="5" w:author="Sidi Lemine" w:date="2026-09-16T21:45:00Z" w:initials="SL">
    <w:p w14:paraId="00D298AE" w14:textId="77777777" w:rsidR="0061033C" w:rsidRDefault="0061033C" w:rsidP="0061033C">
      <w:r>
        <w:rPr>
          <w:rStyle w:val="CommentReference"/>
        </w:rPr>
        <w:annotationRef/>
      </w:r>
      <w:r>
        <w:rPr>
          <w:sz w:val="20"/>
          <w:szCs w:val="20"/>
        </w:rPr>
        <w:t>It doesn't. It's a WW1 memorial</w:t>
      </w:r>
    </w:p>
  </w:comment>
  <w:comment w:id="6" w:author="Sidi Lemine" w:date="2026-09-16T21:46:00Z" w:initials="SL">
    <w:p w14:paraId="13F3F44C" w14:textId="77777777" w:rsidR="0061033C" w:rsidRDefault="0061033C" w:rsidP="0061033C">
      <w:r>
        <w:rPr>
          <w:rStyle w:val="CommentReference"/>
        </w:rPr>
        <w:annotationRef/>
      </w:r>
      <w:r>
        <w:rPr>
          <w:sz w:val="20"/>
          <w:szCs w:val="20"/>
        </w:rPr>
        <w:t xml:space="preserve">Solemn subjects must be treated in formal, almost formulaic fashion. no room for poetic creativity in my opinion. If I'm honest unless they're major attracitons (e.g. holocaust memorial etc) I'd steer clear. </w:t>
      </w:r>
    </w:p>
  </w:comment>
  <w:comment w:id="7" w:author="Sidi Lemine" w:date="2026-09-16T21:46:00Z" w:initials="SL">
    <w:p w14:paraId="1D6DD71F" w14:textId="77777777" w:rsidR="0061033C" w:rsidRDefault="0061033C" w:rsidP="0061033C">
      <w:r>
        <w:rPr>
          <w:rStyle w:val="CommentReference"/>
        </w:rPr>
        <w:annotationRef/>
      </w:r>
      <w:r>
        <w:rPr>
          <w:sz w:val="20"/>
          <w:szCs w:val="20"/>
        </w:rPr>
        <w:t>Not really - it meanders between the person, history at large, and local color</w:t>
      </w:r>
    </w:p>
  </w:comment>
  <w:comment w:id="8" w:author="Sidi Lemine" w:date="2026-09-16T21:47:00Z" w:initials="SL">
    <w:p w14:paraId="2DE5898D" w14:textId="77777777" w:rsidR="0061033C" w:rsidRDefault="0061033C" w:rsidP="0061033C">
      <w:r>
        <w:rPr>
          <w:rStyle w:val="CommentReference"/>
        </w:rPr>
        <w:annotationRef/>
      </w:r>
      <w:r>
        <w:rPr>
          <w:sz w:val="20"/>
          <w:szCs w:val="20"/>
        </w:rPr>
        <w:t>A bit over-written, but mostly unclear about its purpose</w:t>
      </w:r>
    </w:p>
  </w:comment>
  <w:comment w:id="9" w:author="Sidi Lemine" w:date="2026-09-16T21:47:00Z" w:initials="SL">
    <w:p w14:paraId="1E6214F5" w14:textId="77777777" w:rsidR="0061033C" w:rsidRDefault="0061033C" w:rsidP="0061033C">
      <w:r>
        <w:rPr>
          <w:rStyle w:val="CommentReference"/>
        </w:rPr>
        <w:annotationRef/>
      </w:r>
      <w:r>
        <w:rPr>
          <w:sz w:val="20"/>
          <w:szCs w:val="20"/>
        </w:rPr>
        <w:t>Overall I lean strongly towards tally ho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CE351D" w15:done="0"/>
  <w15:commentEx w15:paraId="7B21CE54" w15:done="0"/>
  <w15:commentEx w15:paraId="0C2A8A94" w15:done="0"/>
  <w15:commentEx w15:paraId="2B679D9B" w15:done="0"/>
  <w15:commentEx w15:paraId="307B5B24" w15:done="0"/>
  <w15:commentEx w15:paraId="00D298AE" w15:done="0"/>
  <w15:commentEx w15:paraId="13F3F44C" w15:done="0"/>
  <w15:commentEx w15:paraId="1D6DD71F" w15:done="0"/>
  <w15:commentEx w15:paraId="2DE5898D" w15:done="0"/>
  <w15:commentEx w15:paraId="1E6214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922ED8" w16cex:dateUtc="2026-09-16T20:38:00Z"/>
  <w16cex:commentExtensible w16cex:durableId="11091196" w16cex:dateUtc="2026-09-16T20:42:00Z"/>
  <w16cex:commentExtensible w16cex:durableId="4982C99D" w16cex:dateUtc="2026-09-16T20:43:00Z"/>
  <w16cex:commentExtensible w16cex:durableId="3FEFACCC" w16cex:dateUtc="2026-09-16T20:43:00Z"/>
  <w16cex:commentExtensible w16cex:durableId="34D7537A" w16cex:dateUtc="2026-09-16T20:44:00Z"/>
  <w16cex:commentExtensible w16cex:durableId="0AD05C0E" w16cex:dateUtc="2026-09-16T20:45:00Z"/>
  <w16cex:commentExtensible w16cex:durableId="33BEA2C3" w16cex:dateUtc="2026-09-16T20:46:00Z"/>
  <w16cex:commentExtensible w16cex:durableId="47C745EC" w16cex:dateUtc="2026-09-16T20:46:00Z"/>
  <w16cex:commentExtensible w16cex:durableId="65536742" w16cex:dateUtc="2026-09-16T20:47:00Z"/>
  <w16cex:commentExtensible w16cex:durableId="4068BA2B" w16cex:dateUtc="2026-09-16T2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CE351D" w16cid:durableId="01922ED8"/>
  <w16cid:commentId w16cid:paraId="7B21CE54" w16cid:durableId="11091196"/>
  <w16cid:commentId w16cid:paraId="0C2A8A94" w16cid:durableId="4982C99D"/>
  <w16cid:commentId w16cid:paraId="2B679D9B" w16cid:durableId="3FEFACCC"/>
  <w16cid:commentId w16cid:paraId="307B5B24" w16cid:durableId="34D7537A"/>
  <w16cid:commentId w16cid:paraId="00D298AE" w16cid:durableId="0AD05C0E"/>
  <w16cid:commentId w16cid:paraId="13F3F44C" w16cid:durableId="33BEA2C3"/>
  <w16cid:commentId w16cid:paraId="1D6DD71F" w16cid:durableId="47C745EC"/>
  <w16cid:commentId w16cid:paraId="2DE5898D" w16cid:durableId="65536742"/>
  <w16cid:commentId w16cid:paraId="1E6214F5" w16cid:durableId="4068BA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7E590" w14:textId="77777777" w:rsidR="00F049F8" w:rsidRDefault="00F049F8">
      <w:pPr>
        <w:spacing w:after="0" w:line="240" w:lineRule="auto"/>
      </w:pPr>
      <w:r>
        <w:separator/>
      </w:r>
    </w:p>
  </w:endnote>
  <w:endnote w:type="continuationSeparator" w:id="0">
    <w:p w14:paraId="2291C502" w14:textId="77777777" w:rsidR="00F049F8" w:rsidRDefault="00F04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E937C" w14:textId="77777777" w:rsidR="00B64C74" w:rsidRDefault="00000000">
    <w:pPr>
      <w:pStyle w:val="Footer"/>
      <w:jc w:val="right"/>
    </w:pPr>
    <w:r>
      <w:t xml:space="preserve">Page </w:t>
    </w: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8E28" w14:textId="77777777" w:rsidR="00B64C74" w:rsidRDefault="00000000">
    <w:pPr>
      <w:pStyle w:val="Footer"/>
      <w:jc w:val="right"/>
    </w:pPr>
    <w:r>
      <w:t xml:space="preserve">Page </w:t>
    </w:r>
    <w:r>
      <w:fldChar w:fldCharType="begin"/>
    </w:r>
    <w:r>
      <w:instrText>PAGE</w:instrText>
    </w:r>
    <w:r>
      <w:fldChar w:fldCharType="separate"/>
    </w:r>
    <w:r w:rsidR="0061033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F91D1" w14:textId="77777777" w:rsidR="00B64C74" w:rsidRDefault="00000000">
    <w:pPr>
      <w:pStyle w:val="Footer"/>
      <w:jc w:val="right"/>
    </w:pPr>
    <w:r>
      <w:t xml:space="preserve">Page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C7EFA" w14:textId="77777777" w:rsidR="00F049F8" w:rsidRDefault="00F049F8">
      <w:pPr>
        <w:spacing w:after="0" w:line="240" w:lineRule="auto"/>
      </w:pPr>
      <w:r>
        <w:separator/>
      </w:r>
    </w:p>
  </w:footnote>
  <w:footnote w:type="continuationSeparator" w:id="0">
    <w:p w14:paraId="49E40407" w14:textId="77777777" w:rsidR="00F049F8" w:rsidRDefault="00F049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94F16" w14:textId="77777777" w:rsidR="00B64C74" w:rsidRDefault="00000000">
    <w:pPr>
      <w:pStyle w:val="Header"/>
    </w:pPr>
    <w:r>
      <w:rPr>
        <w:sz w:val="18"/>
      </w:rPr>
      <w:t xml:space="preserve">North </w:t>
    </w:r>
    <w:proofErr w:type="gramStart"/>
    <w:r>
      <w:rPr>
        <w:sz w:val="18"/>
      </w:rPr>
      <w:t>Finchley  |</w:t>
    </w:r>
    <w:proofErr w:type="gramEnd"/>
    <w:r>
      <w:rPr>
        <w:sz w:val="18"/>
      </w:rPr>
      <w:t xml:space="preserve">  Sample </w:t>
    </w:r>
    <w:proofErr w:type="gramStart"/>
    <w:r>
      <w:rPr>
        <w:sz w:val="18"/>
      </w:rPr>
      <w:t>narration  |</w:t>
    </w:r>
    <w:proofErr w:type="gramEnd"/>
    <w:r>
      <w:rPr>
        <w:sz w:val="18"/>
      </w:rPr>
      <w:t xml:space="preserve">  Draft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3A1D" w14:textId="77777777" w:rsidR="00B64C74" w:rsidRDefault="00000000">
    <w:pPr>
      <w:pStyle w:val="Header"/>
    </w:pPr>
    <w:r>
      <w:rPr>
        <w:sz w:val="18"/>
      </w:rPr>
      <w:t xml:space="preserve">North </w:t>
    </w:r>
    <w:proofErr w:type="gramStart"/>
    <w:r>
      <w:rPr>
        <w:sz w:val="18"/>
      </w:rPr>
      <w:t>Finchley  |</w:t>
    </w:r>
    <w:proofErr w:type="gramEnd"/>
    <w:r>
      <w:rPr>
        <w:sz w:val="18"/>
      </w:rPr>
      <w:t xml:space="preserve">  Sample </w:t>
    </w:r>
    <w:proofErr w:type="gramStart"/>
    <w:r>
      <w:rPr>
        <w:sz w:val="18"/>
      </w:rPr>
      <w:t>narration  |</w:t>
    </w:r>
    <w:proofErr w:type="gramEnd"/>
    <w:r>
      <w:rPr>
        <w:sz w:val="18"/>
      </w:rPr>
      <w:t xml:space="preserve">  Draft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00B55" w14:textId="77777777" w:rsidR="00B64C74" w:rsidRDefault="00000000">
    <w:pPr>
      <w:pStyle w:val="Header"/>
    </w:pPr>
    <w:r>
      <w:rPr>
        <w:sz w:val="18"/>
      </w:rPr>
      <w:t xml:space="preserve">North </w:t>
    </w:r>
    <w:proofErr w:type="gramStart"/>
    <w:r>
      <w:rPr>
        <w:sz w:val="18"/>
      </w:rPr>
      <w:t>Finchley  |</w:t>
    </w:r>
    <w:proofErr w:type="gramEnd"/>
    <w:r>
      <w:rPr>
        <w:sz w:val="18"/>
      </w:rPr>
      <w:t xml:space="preserve">  Sample </w:t>
    </w:r>
    <w:proofErr w:type="gramStart"/>
    <w:r>
      <w:rPr>
        <w:sz w:val="18"/>
      </w:rPr>
      <w:t>narration  |</w:t>
    </w:r>
    <w:proofErr w:type="gramEnd"/>
    <w:r>
      <w:rPr>
        <w:sz w:val="18"/>
      </w:rPr>
      <w:t xml:space="preserve">  Draft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8410947">
    <w:abstractNumId w:val="8"/>
  </w:num>
  <w:num w:numId="2" w16cid:durableId="693312223">
    <w:abstractNumId w:val="6"/>
  </w:num>
  <w:num w:numId="3" w16cid:durableId="318118593">
    <w:abstractNumId w:val="5"/>
  </w:num>
  <w:num w:numId="4" w16cid:durableId="591207616">
    <w:abstractNumId w:val="4"/>
  </w:num>
  <w:num w:numId="5" w16cid:durableId="1312370670">
    <w:abstractNumId w:val="7"/>
  </w:num>
  <w:num w:numId="6" w16cid:durableId="1853032761">
    <w:abstractNumId w:val="3"/>
  </w:num>
  <w:num w:numId="7" w16cid:durableId="1936665981">
    <w:abstractNumId w:val="2"/>
  </w:num>
  <w:num w:numId="8" w16cid:durableId="884146996">
    <w:abstractNumId w:val="1"/>
  </w:num>
  <w:num w:numId="9" w16cid:durableId="6450893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di Lemine">
    <w15:presenceInfo w15:providerId="Windows Live" w15:userId="99ddf740cbaba2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121"/>
    <w:rsid w:val="0015074B"/>
    <w:rsid w:val="0029639D"/>
    <w:rsid w:val="00326F90"/>
    <w:rsid w:val="0061033C"/>
    <w:rsid w:val="00AA1D8D"/>
    <w:rsid w:val="00B47730"/>
    <w:rsid w:val="00B64C74"/>
    <w:rsid w:val="00CB0664"/>
    <w:rsid w:val="00F049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23C99E"/>
  <w14:defaultImageDpi w14:val="300"/>
  <w15:docId w15:val="{5E75B72A-BA93-6E42-ACA9-BD49706A7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8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after="14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61033C"/>
    <w:rPr>
      <w:sz w:val="16"/>
      <w:szCs w:val="16"/>
    </w:rPr>
  </w:style>
  <w:style w:type="paragraph" w:styleId="CommentText">
    <w:name w:val="annotation text"/>
    <w:basedOn w:val="Normal"/>
    <w:link w:val="CommentTextChar"/>
    <w:uiPriority w:val="99"/>
    <w:semiHidden/>
    <w:unhideWhenUsed/>
    <w:rsid w:val="0061033C"/>
    <w:pPr>
      <w:spacing w:line="240" w:lineRule="auto"/>
    </w:pPr>
    <w:rPr>
      <w:sz w:val="20"/>
      <w:szCs w:val="20"/>
    </w:rPr>
  </w:style>
  <w:style w:type="character" w:customStyle="1" w:styleId="CommentTextChar">
    <w:name w:val="Comment Text Char"/>
    <w:basedOn w:val="DefaultParagraphFont"/>
    <w:link w:val="CommentText"/>
    <w:uiPriority w:val="99"/>
    <w:semiHidden/>
    <w:rsid w:val="0061033C"/>
    <w:rPr>
      <w:rFonts w:ascii="Calibri" w:hAnsi="Calibri"/>
      <w:color w:val="000000"/>
      <w:sz w:val="20"/>
      <w:szCs w:val="20"/>
    </w:rPr>
  </w:style>
  <w:style w:type="paragraph" w:styleId="CommentSubject">
    <w:name w:val="annotation subject"/>
    <w:basedOn w:val="CommentText"/>
    <w:next w:val="CommentText"/>
    <w:link w:val="CommentSubjectChar"/>
    <w:uiPriority w:val="99"/>
    <w:semiHidden/>
    <w:unhideWhenUsed/>
    <w:rsid w:val="0061033C"/>
    <w:rPr>
      <w:b/>
      <w:bCs/>
    </w:rPr>
  </w:style>
  <w:style w:type="character" w:customStyle="1" w:styleId="CommentSubjectChar">
    <w:name w:val="Comment Subject Char"/>
    <w:basedOn w:val="CommentTextChar"/>
    <w:link w:val="CommentSubject"/>
    <w:uiPriority w:val="99"/>
    <w:semiHidden/>
    <w:rsid w:val="0061033C"/>
    <w:rPr>
      <w:rFonts w:ascii="Calibri" w:hAnsi="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jdwetherspoon.com/pub-histories/the-tally-ho-north-finchley/" TargetMode="Externa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northfinchleytowncentre.co.uk/local-stories/story/tally-ho-the-truth-behind-the-name/" TargetMode="External"/><Relationship Id="rId17" Type="http://schemas.openxmlformats.org/officeDocument/2006/relationships/hyperlink" Target="https://www.westernfrontassociation.com/world-war-i-articles/2020/august/who-was-the-first-british-soldier-to-be-killed-in-the-first-world-war/"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www.linkedin.com/posts/commonwealthwargraves_on-this-day-in-1914-private-john-parr-middlesex-activity-6967148604947902464-jGTp"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barnet.gov.uk/news/bench-honours-first-british-soldier-die-world-war-one" TargetMode="External"/><Relationship Id="rId23" Type="http://schemas.openxmlformats.org/officeDocument/2006/relationships/footer" Target="footer3.xml"/><Relationship Id="rId10" Type="http://schemas.microsoft.com/office/2016/09/relationships/commentsIds" Target="commentsIds.xml"/><Relationship Id="rId19" Type="http://schemas.openxmlformats.org/officeDocument/2006/relationships/header" Target="head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londonist.com/london/history/how-finchley-s-tally-ho-corner-got-its-name"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869</Words>
  <Characters>4407</Characters>
  <Application>Microsoft Office Word</Application>
  <DocSecurity>0</DocSecurity>
  <Lines>137</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North Finchley sample stops</dc:title>
  <dc:subject>Narration draft for Sidi to comment on</dc:subject>
  <dc:creator>Codex</dc:creator>
  <cp:keywords/>
  <dc:description>generated by python-docx</dc:description>
  <cp:lastModifiedBy>Sidi Lemine</cp:lastModifiedBy>
  <cp:revision>2</cp:revision>
  <dcterms:created xsi:type="dcterms:W3CDTF">2026-09-16T20:47:00Z</dcterms:created>
  <dcterms:modified xsi:type="dcterms:W3CDTF">2026-09-16T20:47:00Z</dcterms:modified>
  <cp:category/>
</cp:coreProperties>
</file>