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Walking tour design research and proposed guidelines</w:t>
      </w:r>
    </w:p>
    <w:p>
      <w:pPr>
        <w:pStyle w:val="Subtitle"/>
      </w:pPr>
      <w:r>
        <w:t>Review copy for Sidi</w:t>
        <w:br/>
        <w:t>16 September 2026</w:t>
      </w:r>
    </w:p>
    <w:p>
      <w:r>
        <w:t>This review brings together visitor research, heritage interpretation and audio-tour production guidance to help us agree what makes a good walking tour. Please comment on the proposed guidelines and preferences before we use them to select the final route and content.</w:t>
      </w:r>
    </w:p>
    <w:p>
      <w:r>
        <w:rPr>
          <w:b/>
        </w:rPr>
        <w:t>Discussion draft.</w:t>
      </w:r>
      <w:r>
        <w:t xml:space="preserve"> The guidelines are proposals, not an adopted product contract or a new test gate. This document changes no app behaviour or physical acceptance status.</w:t>
      </w:r>
    </w:p>
    <w:p>
      <w:pPr>
        <w:pStyle w:val="Heading1"/>
      </w:pPr>
      <w:r>
        <w:t>Main conclusion</w:t>
      </w:r>
    </w:p>
    <w:p>
      <w:r>
        <w:t xml:space="preserve">Our proposed aim: </w:t>
      </w:r>
      <w:r>
        <w:rPr>
          <w:b/>
        </w:rPr>
        <w:t>make the walk enjoyable and help the listener notice something meaningful about the place that they would otherwise miss.</w:t>
      </w:r>
      <w:r>
        <w:t xml:space="preserve"> Factual learning can contribute, but fact count, stop count and minutes of speech are poor substitutes for that outcome.</w:t>
      </w:r>
    </w:p>
    <w:p>
      <w:r>
        <w:t xml:space="preserve">There is a useful body of heritage-interpretation practice, visitor research and audio-tour production guidance. It supports an informed starting point, not a universal recipe. We should combine those sources with Sidi's preferences and ordinary-use feedback, under the </w:t>
      </w:r>
      <w:r>
        <w:t>personal-use testing policy</w:t>
      </w:r>
      <w:r>
        <w:t>.</w:t>
      </w:r>
    </w:p>
    <w:p>
      <w:pPr>
        <w:pStyle w:val="Heading1"/>
      </w:pPr>
      <w:r>
        <w:t>Scope and how to read the evidence</w:t>
      </w:r>
    </w:p>
    <w:p>
      <w:r>
        <w:t>This is a focused desk review, not a systematic literature review. Searches covered heritage interpretation, guided-walk design, visitor satisfaction, location-based audio, route design and spoken scripts. Preference was given to original research, author/university repositories, heritage institutions and first-party production guidance. All linked sources were checked on 16 September 2026. Original publication dates below are distinguished from later website uploads.</w:t>
      </w:r>
    </w:p>
    <w:p>
      <w:pPr>
        <w:pStyle w:val="ListBullet"/>
      </w:pPr>
      <w:r>
        <w:rPr>
          <w:b/>
        </w:rPr>
        <w:t>Empirical findings:</w:t>
      </w:r>
      <w:r>
        <w:t xml:space="preserve"> observations or comparisons involving visitors. Several concern live guides, parks or a single heritage attraction; transfer to our solo urban audio walk is an inference.</w:t>
      </w:r>
    </w:p>
    <w:p>
      <w:pPr>
        <w:pStyle w:val="ListBullet"/>
      </w:pPr>
      <w:r>
        <w:rPr>
          <w:b/>
        </w:rPr>
        <w:t>Professional conventions:</w:t>
      </w:r>
      <w:r>
        <w:t xml:space="preserve"> established training and institutional guidance. Useful accumulated practice, but not experimental proof that each rule improves every tour.</w:t>
      </w:r>
    </w:p>
    <w:p>
      <w:pPr>
        <w:pStyle w:val="ListBullet"/>
      </w:pPr>
      <w:r>
        <w:rPr>
          <w:b/>
        </w:rPr>
        <w:t>Producer practice:</w:t>
      </w:r>
      <w:r>
        <w:t xml:space="preserve"> directly applicable experience from VoiceMap, a commercial audio-tour platform. Its recommendations reflect its product and business context.</w:t>
      </w:r>
    </w:p>
    <w:p>
      <w:pPr>
        <w:pStyle w:val="ListBullet"/>
      </w:pPr>
      <w:r>
        <w:rPr>
          <w:b/>
        </w:rPr>
        <w:t>Our proposals:</w:t>
      </w:r>
      <w:r>
        <w:t xml:space="preserve"> the design choices below. These remain open for discussion and can be revised without inventing supporting evidence.</w:t>
      </w:r>
    </w:p>
    <w:p>
      <w:r>
        <w:t>For the Stern/Powell research, relevant methods, findings and limitations were read in the university-hosted full journal issue. For the other empirical papers, the review relies on the accessible publisher or institutional abstracts and, for Wolf et al., publisher excerpts; it does not claim a full-text methodological review. No paid access or service was used.</w:t>
      </w:r>
    </w:p>
    <w:p>
      <w:pPr>
        <w:pStyle w:val="Heading1"/>
      </w:pPr>
      <w:r>
        <w:t>What the visitor research tells us</w:t>
      </w:r>
    </w:p>
    <w:p>
      <w:pPr>
        <w:pStyle w:val="Heading2"/>
      </w:pPr>
      <w:r>
        <w:t>1 Organisation and delivery matter alongside subject knowledge</w:t>
      </w:r>
    </w:p>
    <w:p>
      <w:r>
        <w:t xml:space="preserve">Stern and Powell's </w:t>
      </w:r>
      <w:r>
        <w:rPr>
          <w:b/>
        </w:rPr>
        <w:t>2013</w:t>
      </w:r>
      <w:r>
        <w:t xml:space="preserve"> study observed </w:t>
      </w:r>
      <w:r>
        <w:rPr>
          <w:b/>
        </w:rPr>
        <w:t>376 live programmes in 24 US national-park units</w:t>
      </w:r>
      <w:r>
        <w:t xml:space="preserve">. Thematic communication, organisation and several presenter qualities were associated with positive visitor outcomes. The findings support deliberate experience design, but are observational and concern human guides. A companion analysis left much outcome variation unexplained. We cannot infer that a prescribed script structure or synthetic voice will reproduce the effects. See </w:t>
      </w:r>
      <w:r>
        <w:rPr>
          <w:i/>
        </w:rPr>
        <w:t>What Leads to Better Visitor Outcomes in Live Interpretation?</w:t>
      </w:r>
      <w:r>
        <w:t xml:space="preserve">, pp. 9–43, especially methods and limitations; the companion modelling paper is pp. 45–60. </w:t>
      </w:r>
      <w:hyperlink r:id="rId11">
        <w:r>
          <w:rPr>
            <w:color w:val="215A80"/>
            <w:u w:val="single"/>
          </w:rPr>
          <w:t>Publisher abstract</w:t>
        </w:r>
      </w:hyperlink>
      <w:r>
        <w:t xml:space="preserve">, </w:t>
      </w:r>
      <w:hyperlink r:id="rId12">
        <w:r>
          <w:rPr>
            <w:color w:val="215A80"/>
            <w:u w:val="single"/>
          </w:rPr>
          <w:t>full special issue at Virginia Tech</w:t>
        </w:r>
      </w:hyperlink>
      <w:r>
        <w:t>.</w:t>
      </w:r>
    </w:p>
    <w:p>
      <w:pPr>
        <w:pStyle w:val="Heading2"/>
      </w:pPr>
      <w:r>
        <w:t>2 Learning enjoyment and relaxation can favour different media</w:t>
      </w:r>
    </w:p>
    <w:p>
      <w:r>
        <w:t>Wolf, Stricker and Hagenloh (</w:t>
      </w:r>
      <w:r>
        <w:rPr>
          <w:b/>
        </w:rPr>
        <w:t>2013</w:t>
      </w:r>
      <w:r>
        <w:t xml:space="preserve">) compared GPS multimedia, MP3 audio, pamphlets and signs on an Australian park walking track using questionnaires and GPS observations. Digital media performed well for discovery and learning; traditional media better supported socialising and a relaxed nature experience. GPS multimedia outperformed MP3 audio on some experience measures. This is not evidence that adding screens or more speech will improve our tour: media, content and setting differ. </w:t>
      </w:r>
      <w:hyperlink r:id="rId13">
        <w:r>
          <w:rPr>
            <w:color w:val="215A80"/>
            <w:u w:val="single"/>
          </w:rPr>
          <w:t>Publisher abstract and excerpts, Tourism Management Perspectives 7, 59–72</w:t>
        </w:r>
      </w:hyperlink>
      <w:r>
        <w:t>.</w:t>
      </w:r>
    </w:p>
    <w:p>
      <w:pPr>
        <w:pStyle w:val="Heading2"/>
      </w:pPr>
      <w:r>
        <w:t>3 A supplied guide is not automatically the best experience</w:t>
      </w:r>
    </w:p>
    <w:p>
      <w:r>
        <w:t>Beattie and Schneider (</w:t>
      </w:r>
      <w:r>
        <w:rPr>
          <w:b/>
        </w:rPr>
        <w:t>2018</w:t>
      </w:r>
      <w:r>
        <w:t xml:space="preserve">) surveyed English-speaking Edinburgh Castle visitors who identified their main interpretive resource. Visitors relying primarily on their own resources reported higher satisfaction than some supplied-service groups. Because visitors selected their own approach, this does not establish that guides cause lower satisfaction. It does caution against assuming that everyone wants the same amount or style of guidance. </w:t>
      </w:r>
      <w:hyperlink r:id="rId14">
        <w:r>
          <w:rPr>
            <w:color w:val="215A80"/>
            <w:u w:val="single"/>
          </w:rPr>
          <w:t>Authors' institutional abstract, Tourism Management 67, 89–97</w:t>
        </w:r>
      </w:hyperlink>
      <w:r>
        <w:t>.</w:t>
      </w:r>
    </w:p>
    <w:p>
      <w:pPr>
        <w:pStyle w:val="Heading2"/>
      </w:pPr>
      <w:r>
        <w:t>4 Audio can change how people perceive an ordinary street</w:t>
      </w:r>
    </w:p>
    <w:p>
      <w:r>
        <w:t xml:space="preserve">Hazzard and colleagues' </w:t>
      </w:r>
      <w:r>
        <w:rPr>
          <w:b/>
        </w:rPr>
        <w:t>2017</w:t>
      </w:r>
      <w:r>
        <w:t xml:space="preserve"> </w:t>
      </w:r>
      <w:r>
        <w:rPr>
          <w:i/>
        </w:rPr>
        <w:t>The Rough Mile</w:t>
      </w:r>
      <w:r>
        <w:t xml:space="preserve"> combined a fictional audio narrative, music and environmental sound. Its </w:t>
      </w:r>
      <w:r>
        <w:rPr>
          <w:b/>
        </w:rPr>
        <w:t>26 participants</w:t>
      </w:r>
      <w:r>
        <w:t xml:space="preserve"> described absorption and a changed perspective on their surroundings. This is an exploratory design case, not a controlled demonstration of what improves factual heritage tours. It suggests possibilities for connecting audio to the street; it does not justify invented historical scenes or compulsory sound effects. </w:t>
      </w:r>
      <w:hyperlink r:id="rId15">
        <w:r>
          <w:rPr>
            <w:color w:val="215A80"/>
            <w:u w:val="single"/>
          </w:rPr>
          <w:t>University of Nottingham abstract and publication details</w:t>
        </w:r>
      </w:hyperlink>
      <w:r>
        <w:t>.</w:t>
      </w:r>
    </w:p>
    <w:p>
      <w:pPr>
        <w:pStyle w:val="Heading1"/>
      </w:pPr>
      <w:r>
        <w:t>Conventions worth borrowing</w:t>
      </w:r>
    </w:p>
    <w:p>
      <w:pPr>
        <w:keepNext/>
      </w:pPr>
      <w:r>
        <w:t xml:space="preserve">Thorsten Ludwig, </w:t>
      </w:r>
      <w:r>
        <w:rPr>
          <w:i/>
        </w:rPr>
        <w:t>The Interpretive Guide</w:t>
      </w:r>
      <w:r>
        <w:t xml:space="preserve">, second edition </w:t>
      </w:r>
      <w:r>
        <w:rPr>
          <w:b/>
        </w:rPr>
        <w:t>2015</w:t>
      </w:r>
      <w:r>
        <w:t>; professional training manual</w:t>
      </w:r>
    </w:p>
    <w:p>
      <w:pPr>
        <w:keepNext/>
      </w:pPr>
      <w:r>
        <w:t>Relates a directly experienced feature to a meaningful idea; links individual encounters through a main theme. Relevant sections: pp. 14–19 and 26–30.</w:t>
      </w:r>
    </w:p>
    <w:p>
      <w:r>
        <w:rPr>
          <w:b/>
        </w:rPr>
        <w:t>Limit on its use here:</w:t>
      </w:r>
      <w:r>
        <w:t xml:space="preserve"> Written for live guiding, including responsive group dialogue. A recording cannot assume or hear a visitor's response. </w:t>
      </w:r>
      <w:hyperlink r:id="rId16">
        <w:r>
          <w:rPr>
            <w:color w:val="215A80"/>
            <w:u w:val="single"/>
          </w:rPr>
          <w:t>Manual hosted by Interpret Europe</w:t>
        </w:r>
      </w:hyperlink>
    </w:p>
    <w:p>
      <w:pPr>
        <w:keepNext/>
      </w:pPr>
      <w:r>
        <w:t xml:space="preserve">National Lottery Heritage Fund, </w:t>
      </w:r>
      <w:r>
        <w:rPr>
          <w:i/>
        </w:rPr>
        <w:t>Interpretation good practice guidance</w:t>
      </w:r>
      <w:r>
        <w:t>; institutional guidance</w:t>
      </w:r>
    </w:p>
    <w:p>
      <w:pPr>
        <w:keepNext/>
      </w:pPr>
      <w:r>
        <w:t>Starts with intended audiences and an organising idea; recommends clear language and layers of detail. Relevant sections: “Understanding your audiences” and “Getting the message right”.</w:t>
      </w:r>
    </w:p>
    <w:p>
      <w:r>
        <w:rPr>
          <w:b/>
        </w:rPr>
        <w:t>Limit on its use here:</w:t>
      </w:r>
      <w:r>
        <w:t xml:space="preserve"> Large heritage-project processes and exhibit word counts are not mandatory for our personal audio prototype. </w:t>
      </w:r>
      <w:hyperlink r:id="rId17">
        <w:r>
          <w:rPr>
            <w:color w:val="215A80"/>
            <w:u w:val="single"/>
          </w:rPr>
          <w:t>Guidance</w:t>
        </w:r>
      </w:hyperlink>
    </w:p>
    <w:p>
      <w:pPr>
        <w:keepNext/>
      </w:pPr>
      <w:r>
        <w:t xml:space="preserve">ICOMOS, </w:t>
      </w:r>
      <w:r>
        <w:rPr>
          <w:b/>
        </w:rPr>
        <w:t>2008</w:t>
      </w:r>
      <w:r>
        <w:t xml:space="preserve"> interpretation and presentation charter; professional charter</w:t>
      </w:r>
    </w:p>
    <w:p>
      <w:pPr>
        <w:keepNext/>
      </w:pPr>
      <w:r>
        <w:t>Requires documented sources, context, authenticity and attention to different communities and perspectives. Relevant principles: 2–4 and 6.</w:t>
      </w:r>
    </w:p>
    <w:p>
      <w:r>
        <w:rPr>
          <w:b/>
        </w:rPr>
        <w:t>Limit on its use here:</w:t>
      </w:r>
      <w:r>
        <w:t xml:space="preserve"> An ethical/professional framework, not a trial proving visitor enjoyment. </w:t>
      </w:r>
      <w:hyperlink r:id="rId18">
        <w:r>
          <w:rPr>
            <w:color w:val="215A80"/>
            <w:u w:val="single"/>
          </w:rPr>
          <w:t>Charter</w:t>
        </w:r>
      </w:hyperlink>
    </w:p>
    <w:p>
      <w:pPr>
        <w:keepNext/>
      </w:pPr>
      <w:r>
        <w:t xml:space="preserve">VoiceMap, </w:t>
      </w:r>
      <w:r>
        <w:rPr>
          <w:i/>
        </w:rPr>
        <w:t>Deciding on a route</w:t>
      </w:r>
      <w:r>
        <w:t>; producer practice</w:t>
      </w:r>
    </w:p>
    <w:p>
      <w:pPr>
        <w:keepNext/>
      </w:pPr>
      <w:r>
        <w:t>Develop the route before polishing the script; consider discovery, comfortable longer pauses, convenient endpoints and the time available for audio.</w:t>
      </w:r>
    </w:p>
    <w:p>
      <w:r>
        <w:rPr>
          <w:b/>
        </w:rPr>
        <w:t>Limit on its use here:</w:t>
      </w:r>
      <w:r>
        <w:t xml:space="preserve"> Its typical walking-duration advice and preference for speaking while moving are conventions, not universal optima. </w:t>
      </w:r>
      <w:hyperlink r:id="rId19">
        <w:r>
          <w:rPr>
            <w:color w:val="215A80"/>
            <w:u w:val="single"/>
          </w:rPr>
          <w:t>Route guidance</w:t>
        </w:r>
      </w:hyperlink>
    </w:p>
    <w:p>
      <w:pPr>
        <w:keepNext/>
      </w:pPr>
      <w:r>
        <w:t xml:space="preserve">VoiceMap, </w:t>
      </w:r>
      <w:r>
        <w:rPr>
          <w:i/>
        </w:rPr>
        <w:t>Giving directions</w:t>
      </w:r>
      <w:r>
        <w:t>; producer practice</w:t>
      </w:r>
    </w:p>
    <w:p>
      <w:pPr>
        <w:keepNext/>
      </w:pPr>
      <w:r>
        <w:t>Separate narrative locations from short directional cues; give the next useful instruction with identifiable landmarks.</w:t>
      </w:r>
    </w:p>
    <w:p>
      <w:r>
        <w:rPr>
          <w:b/>
        </w:rPr>
        <w:t>Limit on its use here:</w:t>
      </w:r>
      <w:r>
        <w:t xml:space="preserve"> GPS does not establish which way someone faces. Our verified approach/viewpoint and manual fallback remain necessary. </w:t>
      </w:r>
      <w:hyperlink r:id="rId20">
        <w:r>
          <w:rPr>
            <w:color w:val="215A80"/>
            <w:u w:val="single"/>
          </w:rPr>
          <w:t>Directions guidance</w:t>
        </w:r>
      </w:hyperlink>
    </w:p>
    <w:p>
      <w:pPr>
        <w:keepNext/>
      </w:pPr>
      <w:r>
        <w:t xml:space="preserve">VoiceMap, </w:t>
      </w:r>
      <w:r>
        <w:rPr>
          <w:i/>
        </w:rPr>
        <w:t>Writing for voice</w:t>
      </w:r>
      <w:r>
        <w:t>; producer practice</w:t>
      </w:r>
    </w:p>
    <w:p>
      <w:pPr>
        <w:keepNext/>
      </w:pPr>
      <w:r>
        <w:t>Read scripts aloud, simplify sentence structure and avoid burying the point in names, dates or nested clauses.</w:t>
      </w:r>
    </w:p>
    <w:p>
      <w:r>
        <w:rPr>
          <w:b/>
        </w:rPr>
        <w:t>Limit on its use here:</w:t>
      </w:r>
      <w:r>
        <w:t xml:space="preserve"> Concise speech can still carry nuance; this is not a mandate for shallow content. </w:t>
      </w:r>
      <w:hyperlink r:id="rId21">
        <w:r>
          <w:rPr>
            <w:color w:val="215A80"/>
            <w:u w:val="single"/>
          </w:rPr>
          <w:t>Writing guidance</w:t>
        </w:r>
      </w:hyperlink>
    </w:p>
    <w:p>
      <w:pPr>
        <w:keepNext/>
      </w:pPr>
      <w:r>
        <w:t xml:space="preserve">VoiceMap, </w:t>
      </w:r>
      <w:r>
        <w:rPr>
          <w:i/>
        </w:rPr>
        <w:t>The ingredients of a perfect audio tour</w:t>
      </w:r>
      <w:r>
        <w:t>; producer practice</w:t>
      </w:r>
    </w:p>
    <w:p>
      <w:pPr>
        <w:keepNext/>
      </w:pPr>
      <w:r>
        <w:t>Establish context, develop connections and choose an ending that brings the experience together.</w:t>
      </w:r>
    </w:p>
    <w:p>
      <w:r>
        <w:rPr>
          <w:b/>
        </w:rPr>
        <w:t>Limit on its use here:</w:t>
      </w:r>
      <w:r>
        <w:t xml:space="preserve"> A climax is an editorial option; a reflective ending may suit our route better. </w:t>
      </w:r>
      <w:hyperlink r:id="rId22">
        <w:r>
          <w:rPr>
            <w:color w:val="215A80"/>
            <w:u w:val="single"/>
          </w:rPr>
          <w:t>Production guidance</w:t>
        </w:r>
      </w:hyperlink>
    </w:p>
    <w:p>
      <w:pPr>
        <w:pStyle w:val="Heading1"/>
      </w:pPr>
      <w:r>
        <w:t>Proposed guidelines for our tours</w:t>
      </w:r>
    </w:p>
    <w:p>
      <w:r>
        <w:t>These are our adaptations of the sources above, not claims that the research tested this exact checklist.</w:t>
      </w:r>
    </w:p>
    <w:p>
      <w:pPr>
        <w:pStyle w:val="Heading2"/>
      </w:pPr>
      <w:r>
        <w:t>1 Give the walk a clear promise</w:t>
      </w:r>
    </w:p>
    <w:p>
      <w:pPr>
        <w:keepNext/>
      </w:pPr>
      <w:r>
        <w:t>Before selecting stops, say who it is for and what they will discover. Use an organising question or idea rather than an inventory of local buildings. Leave room for exceptions instead of forcing every place to prove a thesis. This adapts the Heritage Fund's audience/theme guidance.</w:t>
      </w:r>
    </w:p>
    <w:p>
      <w:r>
        <w:rPr>
          <w:b/>
        </w:rPr>
        <w:t>Editorial question:</w:t>
      </w:r>
      <w:r>
        <w:t xml:space="preserve"> What would make Sidi choose this walk over an ordinary stroll?</w:t>
      </w:r>
    </w:p>
    <w:p>
      <w:pPr>
        <w:pStyle w:val="Heading2"/>
      </w:pPr>
      <w:r>
        <w:t>2 Make being there worthwhile</w:t>
      </w:r>
    </w:p>
    <w:p>
      <w:pPr>
        <w:keepNext/>
      </w:pPr>
      <w:r>
        <w:t xml:space="preserve">At each main stop, connect the narration to something the visitor can see, hear or otherwise experience. Where the subject has disappeared, explain its relationship to the present scene; an absence can be meaningful too. This adapts Ludwig's emphasis on first-hand encounters and takes inspiration, rather than proof, from </w:t>
      </w:r>
      <w:r>
        <w:rPr>
          <w:i/>
        </w:rPr>
        <w:t>The Rough Mile</w:t>
      </w:r>
      <w:r>
        <w:t>.</w:t>
      </w:r>
    </w:p>
    <w:p>
      <w:r>
        <w:rPr>
          <w:b/>
        </w:rPr>
        <w:t>Editorial question:</w:t>
      </w:r>
      <w:r>
        <w:t xml:space="preserve"> What becomes clearer or more interesting because we are standing here?</w:t>
      </w:r>
    </w:p>
    <w:p>
      <w:pPr>
        <w:pStyle w:val="Heading2"/>
      </w:pPr>
      <w:r>
        <w:t>3 Choose an interesting explanation not a catalogue</w:t>
      </w:r>
    </w:p>
    <w:p>
      <w:pPr>
        <w:keepNext/>
      </w:pPr>
      <w:r>
        <w:t>Build around a change, decision, puzzle, conflict or revealing detail. Use people where the evidence supports them; architecture, nature or engineering can also carry a strong explanation. One main point per stop is our editing default, with only the facts needed to support it. The aim is coherent communication, informed by the live-interpretation research, rather than requiring every stop to follow an identical dramatic formula.</w:t>
      </w:r>
    </w:p>
    <w:p>
      <w:r>
        <w:rPr>
          <w:b/>
        </w:rPr>
        <w:t>Editorial question:</w:t>
      </w:r>
      <w:r>
        <w:t xml:space="preserve"> What is the payoff, and which sentences help us reach it?</w:t>
      </w:r>
    </w:p>
    <w:p>
      <w:pPr>
        <w:pStyle w:val="Heading2"/>
      </w:pPr>
      <w:r>
        <w:t>4 Design the route and story together</w:t>
      </w:r>
    </w:p>
    <w:p>
      <w:pPr>
        <w:keepNext/>
      </w:pPr>
      <w:r>
        <w:t>Develop plausible paths and story opportunities together before committing to finished scripts. Prefer a route pleasant to walk, with usable viewpoints and a convenient finish. A detour or some backtracking can earn its place through a worthwhile experience; neither a perfectly circular route nor minimum distance is an absolute rule. This adapts VoiceMap's route-first practice to our North Finchley brief.</w:t>
      </w:r>
    </w:p>
    <w:p>
      <w:r>
        <w:rPr>
          <w:b/>
        </w:rPr>
        <w:t>Editorial question:</w:t>
      </w:r>
      <w:r>
        <w:t xml:space="preserve"> Is this stop worth the walk and the place we are asking someone to stand?</w:t>
      </w:r>
    </w:p>
    <w:p>
      <w:pPr>
        <w:pStyle w:val="Heading2"/>
      </w:pPr>
      <w:r>
        <w:t>5 Vary the pace and leave room for the place</w:t>
      </w:r>
    </w:p>
    <w:p>
      <w:pPr>
        <w:keepNext/>
      </w:pPr>
      <w:r>
        <w:t>Use a mixture of brief observations, developed stories and quiet walking. Budget speech against actual route decisions and comfortable stopping opportunities. Announce a substantial quiet stretch so it does not feel like the app failed. Preserve the possibility of looking, listening to the street or taking a break. This is our proposed balance between the different experiences in Wolf et al. and VoiceMap's concern about ill-fitting audio/travel time.</w:t>
      </w:r>
    </w:p>
    <w:p>
      <w:r>
        <w:rPr>
          <w:b/>
        </w:rPr>
        <w:t>Editorial question:</w:t>
      </w:r>
      <w:r>
        <w:t xml:space="preserve"> Does this stretch need a story, a direction, a moment to look, or nothing from us?</w:t>
      </w:r>
    </w:p>
    <w:p>
      <w:pPr>
        <w:pStyle w:val="Heading2"/>
      </w:pPr>
      <w:r>
        <w:t>6 Make navigation easy to follow without consuming attention</w:t>
      </w:r>
    </w:p>
    <w:p>
      <w:pPr>
        <w:keepNext/>
      </w:pPr>
      <w:r>
        <w:t>Give one timely action, anchored to an identifiable feature; establish orientation before left/right instructions. Keep detailed storytelling away from moments requiring attention to crossings or route decisions. Let the visitor stop, skip or recover manually. The direction-writing convention comes from VoiceMap; the attention and control choices are our adaptation for this app and audience.</w:t>
      </w:r>
    </w:p>
    <w:p>
      <w:r>
        <w:rPr>
          <w:b/>
        </w:rPr>
        <w:t>Editorial question:</w:t>
      </w:r>
      <w:r>
        <w:t xml:space="preserve"> Can the listener follow this calmly without remembering a chain of turns?</w:t>
      </w:r>
    </w:p>
    <w:p>
      <w:pPr>
        <w:pStyle w:val="Heading2"/>
      </w:pPr>
      <w:r>
        <w:t>7 Sound like an interested trustworthy companion</w:t>
      </w:r>
    </w:p>
    <w:p>
      <w:pPr>
        <w:keepNext/>
      </w:pPr>
      <w:r>
        <w:t>Write for the ear, read aloud and cut jargon or name/date lists that do not serve the point. Use concrete detail and a conversational voice. Avoid fake personal memories, invented dialogue, unsupported motives or exaggerated certainty. Separate documented events, inference, dispute and folklore; consider whose perspective is missing. VoiceMap informs delivery; ICOMOS informs evidence and representation. We should not mimic a human guide's sincerity by fabricating a biography.</w:t>
      </w:r>
    </w:p>
    <w:p>
      <w:r>
        <w:rPr>
          <w:b/>
        </w:rPr>
        <w:t>Editorial question:</w:t>
      </w:r>
      <w:r>
        <w:t xml:space="preserve"> Is this both natural to hear and honest about what we know?</w:t>
      </w:r>
    </w:p>
    <w:p>
      <w:pPr>
        <w:pStyle w:val="Heading2"/>
      </w:pPr>
      <w:r>
        <w:t>8 Let the listener participate without making it homework</w:t>
      </w:r>
    </w:p>
    <w:p>
      <w:pPr>
        <w:keepNext/>
      </w:pPr>
      <w:r>
        <w:t>Occasionally invite the listener to notice or compare a real detail, then give them time. Avoid quiz-like questions or telling them what they must feel. Keep controls available and place secondary detail in existing transcripts/sources where appropriate; a new branching feature is not required. This adapts Ludwig and the Heritage Fund's guidance, while recognising the differing visitor preferences in Beattie and Schneider.</w:t>
      </w:r>
    </w:p>
    <w:p>
      <w:r>
        <w:rPr>
          <w:b/>
        </w:rPr>
        <w:t>Editorial question:</w:t>
      </w:r>
      <w:r>
        <w:t xml:space="preserve"> Are we helping someone explore, or demanding their attention?</w:t>
      </w:r>
    </w:p>
    <w:p>
      <w:pPr>
        <w:pStyle w:val="Heading2"/>
      </w:pPr>
      <w:r>
        <w:t>9 Give the walk an opening and an ending</w:t>
      </w:r>
    </w:p>
    <w:p>
      <w:pPr>
        <w:keepNext/>
      </w:pPr>
      <w:r>
        <w:t>Set expectations early. Let later stops develop or complicate the opening idea, and finish with a useful connection back to it. Then clearly say the tour is complete and explain where the listener has ended. Our proposed structure adapts VoiceMap's narrative guidance; it need not force an emotional climax or a grand moral.</w:t>
      </w:r>
    </w:p>
    <w:p>
      <w:r>
        <w:rPr>
          <w:b/>
        </w:rPr>
        <w:t>Editorial question:</w:t>
      </w:r>
      <w:r>
        <w:t xml:space="preserve"> Does the finish feel intentional, rather than like the list ran out?</w:t>
      </w:r>
    </w:p>
    <w:p>
      <w:pPr>
        <w:pStyle w:val="Heading1"/>
      </w:pPr>
      <w:r>
        <w:t>What this review does not establish</w:t>
      </w:r>
    </w:p>
    <w:p>
      <w:pPr>
        <w:pStyle w:val="ListBullet"/>
      </w:pPr>
      <w:r>
        <w:rPr>
          <w:b/>
        </w:rPr>
        <w:t>No universal ideal stop count, clip length or speech/silence ratio emerged.</w:t>
      </w:r>
      <w:r>
        <w:t xml:space="preserve"> Numerical advice in these sources is context-specific practice, not proof of an optimum for Sidi.</w:t>
      </w:r>
    </w:p>
    <w:p>
      <w:pPr>
        <w:pStyle w:val="ListBullet"/>
      </w:pPr>
      <w:r>
        <w:t xml:space="preserve">Our existing </w:t>
      </w:r>
      <w:r>
        <w:rPr>
          <w:b/>
        </w:rPr>
        <w:t>six-stop scope</w:t>
      </w:r>
      <w:r>
        <w:t xml:space="preserve">, </w:t>
      </w:r>
      <w:r>
        <w:rPr>
          <w:b/>
        </w:rPr>
        <w:t>20–30-minute route target</w:t>
      </w:r>
      <w:r>
        <w:t xml:space="preserve"> and </w:t>
      </w:r>
      <w:r>
        <w:rPr>
          <w:b/>
        </w:rPr>
        <w:t>30–45-second provisional stories</w:t>
      </w:r>
      <w:r>
        <w:t xml:space="preserve"> are project choices. The short narration target was introduced to minimise time, not established by visitor research. Keep the route compact, but let a worthwhile story earn more time. Any change to the six-stop scope remains for discussion.</w:t>
      </w:r>
    </w:p>
    <w:p>
      <w:pPr>
        <w:pStyle w:val="ListBullet"/>
      </w:pPr>
      <w:r>
        <w:t>A clear thread need not mean a single chronological plot. An exploratory walk with a consistent perspective may suit the material better. The evidence does not settle that preference.</w:t>
      </w:r>
    </w:p>
    <w:p>
      <w:pPr>
        <w:pStyle w:val="ListBullet"/>
      </w:pPr>
      <w:r>
        <w:t>A story-rich recording cannot reproduce a live guide's conversation or judgement. Group-guiding findings should inform our choices without being presented as measured audio-app effects.</w:t>
      </w:r>
    </w:p>
    <w:p>
      <w:pPr>
        <w:pStyle w:val="ListBullet"/>
      </w:pPr>
      <w:r>
        <w:t>Music, multiple voices, gamification and added screens are possibilities, not requirements supported by this review. Start with strong selection, writing and usable directions.</w:t>
      </w:r>
    </w:p>
    <w:p>
      <w:pPr>
        <w:pStyle w:val="Heading1"/>
      </w:pPr>
      <w:r>
        <w:t>A small practical authoring method</w:t>
      </w:r>
    </w:p>
    <w:p>
      <w:r>
        <w:t>Our proposed working method, for discussion:</w:t>
      </w:r>
    </w:p>
    <w:p>
      <w:pPr>
        <w:pStyle w:val="ListNumber"/>
      </w:pPr>
      <w:r>
        <w:t>Write a one-sentence promise for the walk and a rough beginning/end.</w:t>
      </w:r>
    </w:p>
    <w:p>
      <w:pPr>
        <w:pStyle w:val="ListNumber"/>
      </w:pPr>
      <w:r>
        <w:t xml:space="preserve">Give each candidate a short note: </w:t>
      </w:r>
      <w:r>
        <w:rPr>
          <w:b/>
        </w:rPr>
        <w:t>what is here; what is interesting about it; why it belongs; what the visitor will notice; supporting evidence; access/route cost</w:t>
      </w:r>
      <w:r>
        <w:t>. This is an editing aid, not a new software schema or scoring model.</w:t>
      </w:r>
    </w:p>
    <w:p>
      <w:pPr>
        <w:pStyle w:val="ListNumber"/>
      </w:pPr>
      <w:r>
        <w:t>Arrange a plausible route and remove weak or repetitive candidates. Mark access uncertainties honestly.</w:t>
      </w:r>
    </w:p>
    <w:p>
      <w:pPr>
        <w:pStyle w:val="ListNumber"/>
      </w:pPr>
      <w:r>
        <w:t>Draft two contrasting sample stops before writing everything. Read them aloud at the desk; judge both interest and length. No physical test is needed to reject a dull draft.</w:t>
      </w:r>
    </w:p>
    <w:p>
      <w:pPr>
        <w:pStyle w:val="ListNumber"/>
      </w:pPr>
      <w:r>
        <w:t xml:space="preserve">During the eventual normal walk, ask only: </w:t>
      </w:r>
      <w:r>
        <w:rPr>
          <w:b/>
        </w:rPr>
        <w:t>What did you notice that you otherwise would not? Where did it drag or get confusing? Was it worth taking?</w:t>
      </w:r>
      <w:r>
        <w:t xml:space="preserve"> Investigate concrete problems; no quiz, formal audience study or new outing quota.</w:t>
      </w:r>
    </w:p>
    <w:p>
      <w:pPr>
        <w:pStyle w:val="Heading1"/>
      </w:pPr>
      <w:r>
        <w:t>Suggested agreement before route selection</w:t>
      </w:r>
    </w:p>
    <w:p>
      <w:r>
        <w:t xml:space="preserve">My recommendation is a </w:t>
      </w:r>
      <w:r>
        <w:rPr>
          <w:b/>
        </w:rPr>
        <w:t>conversational walk focused on noticing the place</w:t>
      </w:r>
      <w:r>
        <w:t>, with an organising thread, varied story lengths and deliberate quiet. Present-day surroundings should do real work in the storytelling. Accuracy stays explicit without making the spoken script read like a bibliography.</w:t>
      </w:r>
    </w:p>
    <w:p>
      <w:r>
        <w:t>Three preferences remain ours to choose, not questions the literature can settle:</w:t>
      </w:r>
    </w:p>
    <w:p>
      <w:pPr>
        <w:pStyle w:val="ListBullet"/>
      </w:pPr>
      <w:r>
        <w:rPr>
          <w:b/>
        </w:rPr>
        <w:t>Structure:</w:t>
      </w:r>
      <w:r>
        <w:t xml:space="preserve"> one developing theme, or a varied set of discoveries linked by an editorial perspective? Suggested default: a light connecting thread, without forcing every stop into a thesis.</w:t>
      </w:r>
    </w:p>
    <w:p>
      <w:pPr>
        <w:pStyle w:val="ListBullet"/>
      </w:pPr>
      <w:r>
        <w:rPr>
          <w:b/>
        </w:rPr>
        <w:t>Depth:</w:t>
      </w:r>
      <w:r>
        <w:t xml:space="preserve"> many short observations, or fewer developed stories with brief observations between? Suggested default: variation; do not enforce equal clip lengths.</w:t>
      </w:r>
    </w:p>
    <w:p>
      <w:pPr>
        <w:pStyle w:val="ListBullet"/>
      </w:pPr>
      <w:r>
        <w:rPr>
          <w:b/>
        </w:rPr>
        <w:t>Voice:</w:t>
      </w:r>
      <w:r>
        <w:t xml:space="preserve"> measured documentary, conversational companion, or overtly theatrical? Suggested default: conversational and concrete, with humour only where it fits.</w:t>
      </w:r>
    </w:p>
    <w:p>
      <w:r>
        <w:t>These are proposed defaults, not recorded owner decisions. Agree or revise them before using them to select the final route/content.</w:t>
      </w:r>
    </w:p>
    <w:p>
      <w:pPr>
        <w:pStyle w:val="Heading1"/>
      </w:pPr>
      <w:r>
        <w:t>Further reading if useful</w:t>
      </w:r>
    </w:p>
    <w:p>
      <w:pPr>
        <w:pStyle w:val="ListBullet"/>
      </w:pPr>
      <w:r>
        <w:t xml:space="preserve">Freeman Tilden, </w:t>
      </w:r>
      <w:r>
        <w:rPr>
          <w:i/>
        </w:rPr>
        <w:t>Interpreting Our Heritage</w:t>
      </w:r>
      <w:r>
        <w:t xml:space="preserve"> (</w:t>
      </w:r>
      <w:r>
        <w:rPr>
          <w:b/>
        </w:rPr>
        <w:t>1957</w:t>
      </w:r>
      <w:r>
        <w:t xml:space="preserve">; expanded fourth edition </w:t>
      </w:r>
      <w:r>
        <w:rPr>
          <w:b/>
        </w:rPr>
        <w:t>2008</w:t>
      </w:r>
      <w:r>
        <w:t xml:space="preserve">, UNC Press). A foundational professional text. The publisher's description and its treatment in the manuals/research above were checked; the entire book was not read for this review. </w:t>
      </w:r>
      <w:hyperlink r:id="rId23">
        <w:r>
          <w:rPr>
            <w:color w:val="215A80"/>
            <w:u w:val="single"/>
          </w:rPr>
          <w:t>Publisher</w:t>
        </w:r>
      </w:hyperlink>
      <w:r>
        <w:t>.</w:t>
      </w:r>
    </w:p>
    <w:p>
      <w:pPr>
        <w:pStyle w:val="ListBullet"/>
      </w:pPr>
      <w:r>
        <w:t xml:space="preserve">Sam H. Ham, </w:t>
      </w:r>
      <w:r>
        <w:rPr>
          <w:i/>
        </w:rPr>
        <w:t>Interpretation: Making a Difference on Purpose</w:t>
      </w:r>
      <w:r>
        <w:t xml:space="preserve"> (</w:t>
      </w:r>
      <w:r>
        <w:rPr>
          <w:b/>
        </w:rPr>
        <w:t>2013</w:t>
      </w:r>
      <w:r>
        <w:t xml:space="preserve">, Fulcrum). A later communication-oriented treatment. Publication details were checked; it is further reading, not a claim that this review accessed its full contents. </w:t>
      </w:r>
      <w:hyperlink r:id="rId24">
        <w:r>
          <w:rPr>
            <w:color w:val="215A80"/>
            <w:u w:val="single"/>
          </w:rPr>
          <w:t>Publisher</w:t>
        </w:r>
      </w:hyperlink>
      <w:r>
        <w:t>.</w:t>
      </w:r>
    </w:p>
    <w:p>
      <w:r>
        <w:t>The freely available Ludwig manual, Heritage Fund guidance and VoiceMap writing/route pages are the most immediately usable starting material. Buying a book is not needed to begin the next editorial discussion.</w:t>
      </w:r>
    </w:p>
    <w:sectPr w:rsidR="00FC693F" w:rsidRPr="0006063C" w:rsidSect="00034616">
      <w:headerReference w:type="default" r:id="rId9"/>
      <w:footerReference w:type="default" r:id="rId10"/>
      <w:pgSz w:w="12240" w:h="15840"/>
      <w:pgMar w:top="1008"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Walking tour design  |  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urnals.sagepub.com/doi/abs/10.1177/109258721301800202" TargetMode="External"/><Relationship Id="rId12" Type="http://schemas.openxmlformats.org/officeDocument/2006/relationships/hyperlink" Target="https://frec.vt.edu/content/dam/frec_vt_edu/documents/jir_stern.pdf" TargetMode="External"/><Relationship Id="rId13" Type="http://schemas.openxmlformats.org/officeDocument/2006/relationships/hyperlink" Target="https://www.sciencedirect.com/science/article/abs/pii/S2211973613000263" TargetMode="External"/><Relationship Id="rId14" Type="http://schemas.openxmlformats.org/officeDocument/2006/relationships/hyperlink" Target="https://experts.umn.edu/en/publications/does-service-type-influence-satisfaction-a-case-study-of-edinburg/" TargetMode="External"/><Relationship Id="rId15" Type="http://schemas.openxmlformats.org/officeDocument/2006/relationships/hyperlink" Target="https://nottingham-repository.worktribe.com/output/9580570/the-rough-mile-reframing-location-through-locative-audio" TargetMode="External"/><Relationship Id="rId16" Type="http://schemas.openxmlformats.org/officeDocument/2006/relationships/hyperlink" Target="https://interpret-europe.net/wp-content/uploads/2021/06/the_interpretive_guide_2015_en.pdf" TargetMode="External"/><Relationship Id="rId17" Type="http://schemas.openxmlformats.org/officeDocument/2006/relationships/hyperlink" Target="https://www.heritagefund.org.uk/funding/good-practice-guidance/interpretation" TargetMode="External"/><Relationship Id="rId18" Type="http://schemas.openxmlformats.org/officeDocument/2006/relationships/hyperlink" Target="https://www.icomos.org/images/DOCUMENTS/Charters/interpretation_e_1.pdf" TargetMode="External"/><Relationship Id="rId19" Type="http://schemas.openxmlformats.org/officeDocument/2006/relationships/hyperlink" Target="https://docs.voicemap.me/tour-publishers/deciding-on-a-route/" TargetMode="External"/><Relationship Id="rId20" Type="http://schemas.openxmlformats.org/officeDocument/2006/relationships/hyperlink" Target="https://docs.voicemap.me/tour-publishers/giving-directions/" TargetMode="External"/><Relationship Id="rId21" Type="http://schemas.openxmlformats.org/officeDocument/2006/relationships/hyperlink" Target="https://docs.voicemap.me/tour-publishers/writing-for-voice/" TargetMode="External"/><Relationship Id="rId22" Type="http://schemas.openxmlformats.org/officeDocument/2006/relationships/hyperlink" Target="https://docs.voicemap.me/tour-publishers/the-ingredients-of-a-perfect-audio-tour/" TargetMode="External"/><Relationship Id="rId23" Type="http://schemas.openxmlformats.org/officeDocument/2006/relationships/hyperlink" Target="https://uncpress.org/9780807858677/interpreting-our-heritage/" TargetMode="External"/><Relationship Id="rId24" Type="http://schemas.openxmlformats.org/officeDocument/2006/relationships/hyperlink" Target="https://www.fulcrumbooks.com/product-page/interpretation-making-a-difference-on-pur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tour design research and proposed guidelines</dc:title>
  <dc:subject>Discussion draft for Sidi to review and comment on</dc:subject>
  <dc:creator>Codex</dc:creator>
  <cp:keywords>walking tours, heritage interpretation, research, proposed guidelines</cp:keywords>
  <dc:description>generated by python-docx</dc:description>
  <cp:lastModifiedBy/>
  <cp:revision>1</cp:revision>
  <dcterms:created xsi:type="dcterms:W3CDTF">2013-12-23T23:15:00Z</dcterms:created>
  <dcterms:modified xsi:type="dcterms:W3CDTF">2013-12-23T23:15:00Z</dcterms:modified>
  <cp:category/>
</cp:coreProperties>
</file>