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Walking tour authoring playbook</w:t>
      </w:r>
    </w:p>
    <w:p>
      <w:r>
        <w:t xml:space="preserve">18 September 2026. Version 1, for Sidi's review and the next assigned tour. This turns the Finchley learning into an executable editorial process. The </w:t>
      </w:r>
      <w:hyperlink r:id="rId9">
        <w:r>
          <w:rPr>
            <w:color w:val="225477"/>
          </w:rPr>
          <w:t>living guidance</w:t>
        </w:r>
      </w:hyperlink>
      <w:r>
        <w:t xml:space="preserve"> remains the authority for owner preferences; this playbook and its </w:t>
      </w:r>
      <w:hyperlink r:id="rId10">
        <w:r>
          <w:rPr>
            <w:color w:val="225477"/>
          </w:rPr>
          <w:t>agent briefs</w:t>
        </w:r>
      </w:hyperlink>
      <w:r>
        <w:t xml:space="preserve"> explain how to apply them. The </w:t>
      </w:r>
      <w:hyperlink r:id="rId11">
        <w:r>
          <w:rPr>
            <w:color w:val="225477"/>
          </w:rPr>
          <w:t>source map</w:t>
        </w:r>
      </w:hyperlink>
      <w:r>
        <w:t xml:space="preserve"> makes the synthesis traceable. Detailed comments and recordings remain preserved.</w:t>
      </w:r>
    </w:p>
    <w:p>
      <w:pPr>
        <w:pStyle w:val="Heading1"/>
      </w:pPr>
      <w:r>
        <w:t>What we are trying to make</w:t>
      </w:r>
    </w:p>
    <w:p>
      <w:r>
        <w:t>Make an enjoyable, relaxing walk reveal something non-obvious about the place and give the visitor a deeper connection to it. The surroundings should contribute to the experience. Historical explanation, interesting anecdote, supported imagined colour and broader insight can coexist. The listener should feel accompanied rather than examined.</w:t>
      </w:r>
    </w:p>
    <w:p>
      <w:r>
        <w:t>Tour B already demonstrated that this can work: Sidi explicitly enjoyed it and learned about his own area. Detailed criticism is useful learning, not a verdict that the first effort failed. Tour A adds further stop-specific feedback; it does not supply a controlled comparison of the two themes. Ratings describe one person's encounters, including repeated stories, and are not a statistical ranking.</w:t>
      </w:r>
    </w:p>
    <w:p>
      <w:pPr>
        <w:pStyle w:val="Heading1"/>
      </w:pPr>
      <w:r>
        <w:t>How firm are these instructions</w:t>
      </w:r>
    </w:p>
    <w:p>
      <w:r/>
      <w:r>
        <w:rPr>
          <w:b/>
        </w:rPr>
        <w:t>Owner directions</w:t>
      </w:r>
      <w:r>
        <w:t xml:space="preserve"> govern the experience: survey existing tours first, ground stories in place and time, research context, return to the present, allow informed colour and wider thought, and divide authoring work among specialists. The source map links these to the actual comments.</w:t>
      </w:r>
    </w:p>
    <w:p>
      <w:r/>
      <w:r>
        <w:rPr>
          <w:b/>
        </w:rPr>
        <w:t>Proposed working method</w:t>
      </w:r>
      <w:r>
        <w:t xml:space="preserve"> covers the sequence, handoff documents and review prompts below. It is ready to try and revise; the owner has not separately approved every implementation detail. Use ordinary editorial judgement within it rather than stopping for repeated approvals.</w:t>
      </w:r>
    </w:p>
    <w:p>
      <w:r/>
      <w:r>
        <w:rPr>
          <w:b/>
        </w:rPr>
        <w:t>Open experiments</w:t>
      </w:r>
      <w:r>
        <w:t xml:space="preserve"> include a numerical digression cap, ideal story lengths, exact staffing and the best theme for a new area. The literature and these walks establish no universal optimum. Do not turn proposed numbers into acceptance rules.</w:t>
      </w:r>
    </w:p>
    <w:p>
      <w:pPr>
        <w:pStyle w:val="Heading1"/>
      </w:pPr>
      <w:r>
        <w:t>1 Survey before choosing stories</w:t>
      </w:r>
    </w:p>
    <w:p>
      <w:r>
        <w:t xml:space="preserve">Start each new area with the </w:t>
      </w:r>
      <w:hyperlink r:id="rId12">
        <w:r>
          <w:rPr>
            <w:color w:val="225477"/>
          </w:rPr>
          <w:t>public walking-tour survey</w:t>
        </w:r>
      </w:hyperlink>
      <w:r>
        <w:t>. Cover commercial operators, local heritage organisations, self-guided walks and relevant themed resources. Catalogue published stops, themes and story angles, including dated or incomplete offerings. Record what was searched and where coverage remains thin; a survey can be comprehensive in effort without claiming every resource has been found.</w:t>
      </w:r>
    </w:p>
    <w:p>
      <w:r>
        <w:t>Use this material to discover what deserves investigation. Write original narration from independently examined evidence; do not reproduce another guide's wording or distinctive narrative sequence. A published stop is a candidate, not a verified claim or a route instruction.</w:t>
      </w:r>
    </w:p>
    <w:p>
      <w:r>
        <w:t>Keep stable place names/aliases, sources and candidate story angles so research can be reused. Existing files and IDs suffice for now. The reusable database and compiler remain later implementation work.</w:t>
      </w:r>
    </w:p>
    <w:p>
      <w:r/>
      <w:r>
        <w:rPr>
          <w:b/>
        </w:rPr>
        <w:t>Handoff:</w:t>
      </w:r>
      <w:r>
        <w:t xml:space="preserve"> a survey catalogue, coverage note and a shortlist with reasons. Preserve alternatives that were rejected, especially where walking cost outweighed a thin story.</w:t>
      </w:r>
    </w:p>
    <w:p>
      <w:pPr>
        <w:pStyle w:val="Heading1"/>
      </w:pPr>
      <w:r>
        <w:t>2 Research the explanation and the present place</w:t>
      </w:r>
    </w:p>
    <w:p>
      <w:r>
        <w:t>For each promising subject, establish what the visitor will encounter, the important historical context and the question that makes it worth a story. Give principal roads, institutions or developments their place before adding secondary anecdotes. Dates should help the listener locate changes in time.</w:t>
      </w:r>
    </w:p>
    <w:p>
      <w:r>
        <w:t>Research relationships as well as facts: who developed a site, who agreed with whom, why people acted and how an activity belongs to this building. Shared use does not establish shared ownership, development or maintenance. Keep unknown links visible; a pleasant phrase about community cannot supply missing evidence.</w:t>
      </w:r>
    </w:p>
    <w:p>
      <w:r>
        <w:t>Investigate names before introducing them. A performer in a concert clipping needs enough identity and period context to inform the imagined night. Research can tell us what sort of music, audience and atmosphere is plausible; it should shape the colour, not merely produce a detached biography.</w:t>
      </w:r>
    </w:p>
    <w:p>
      <w:r>
        <w:t>Return to current affairs. At a shopping arcade, identify surviving businesses and dated signs of change, then investigate causes of decline or a renewed campaign where evidence permits. An old jeweller or café may carry a living story. Do not promise cheerful continuity when the visitor sees closures.</w:t>
      </w:r>
    </w:p>
    <w:p>
      <w:r>
        <w:t>Preserve claims with source metadata, minimal supporting passages, verification status and uncertainty. Follow genuinely independent sources for breadth and challenge; copied articles are one source family. Sidi's Wikipedia-notability suggestion is inspiration for depth and subject selection, not a fixed source-count rule. One authoritative primary source may establish a narrow fact while leaving its wider meaning unexplained.</w:t>
      </w:r>
    </w:p>
    <w:p>
      <w:r/>
      <w:r>
        <w:rPr>
          <w:b/>
        </w:rPr>
        <w:t>Handoff:</w:t>
      </w:r>
      <w:r>
        <w:t xml:space="preserve"> evidence for the proposed explanation, a present-day note with dates, a record of the named actors and relationships, and material unanswered questions. Facts, inferences and scene proposals must remain distinguishable.</w:t>
      </w:r>
    </w:p>
    <w:p>
      <w:pPr>
        <w:pStyle w:val="Heading1"/>
      </w:pPr>
      <w:r>
        <w:t>3 Curate the story and route together</w:t>
      </w:r>
    </w:p>
    <w:p>
      <w:r>
        <w:t>Choose a clear promise and a light connecting theme before polishing prose. Each stop should earn its visit through both its story and what being there adds. A vanished place can earn inclusion if the visitor can understand its relationship to the current scene. Similar subjects need progression or contrast; two vanished cinemas do not automatically make a theme.</w:t>
      </w:r>
    </w:p>
    <w:p>
      <w:r>
        <w:t>Route and curation should inform each other. Allow worthwhile detours, backtracking and variable spacing. The earlier compact footprint was for economical technical checks, not a product duration cap. Walking chapters can make a longer leg rewarding, while silence leaves room for looking, conversation and the street.</w:t>
      </w:r>
    </w:p>
    <w:p>
      <w:r>
        <w:t>Distinguish the landmark from the place a visitor can stand, the incoming approach and the view. Inspect turns from that approach using a map and dated street imagery when useful. A good photograph of the destination does not verify recognition of the junction. Where physical orientation is unresolved, narrow the instruction, use a verified visible anchor or offer the map; do not invent confident left/right prose.</w:t>
      </w:r>
    </w:p>
    <w:p>
      <w:r>
        <w:t>Budget narration against comfortable standing time and actual walking decisions. Avoid substantive speech during crossings or a chain of turns. Plan the next useful direction and leave room for it. Measure rendered audio before handoff; a word count is only an estimate.</w:t>
      </w:r>
    </w:p>
    <w:p>
      <w:r/>
      <w:r>
        <w:rPr>
          <w:b/>
        </w:rPr>
        <w:t>Handoff:</w:t>
      </w:r>
      <w:r>
        <w:t xml:space="preserve"> selected and rejected stops, the tour's developing thread, visitor/approach records, planned legs, story and silence budgets, operational limits and an intentional ending.</w:t>
      </w:r>
    </w:p>
    <w:p>
      <w:pPr>
        <w:pStyle w:val="Heading1"/>
      </w:pPr>
      <w:r>
        <w:t>4 Write supported colour and grounded insight</w:t>
      </w:r>
    </w:p>
    <w:p>
      <w:r>
        <w:t>Write for the ear. Introduce unfamiliar names, keep the main point easy to follow and vary tone. Concrete observations can invite attention without prescribing an emotion or making the walk a quiz. The first tours' tea-and-cake detail worked because it revealed something particular about people and their activity.</w:t>
      </w:r>
    </w:p>
    <w:p>
      <w:r>
        <w:t>Do the imaginative work for a vanished scene. Establish a period and research the differences from today: people, dress, use of space, sound or ordinary routines that matter to this setting. Use a natural imagined frame, then let the scene flow. Do not qualify every sensory sentence, but retain its supporting foundation and reconstruction rationale behind the narration. Never turn invented dialogue, thoughts or a specific undocumented event into recovered history.</w:t>
      </w:r>
    </w:p>
    <w:p>
      <w:r>
        <w:t>Avoid spending a large passage describing an ordinary rehearsal or generic gig that the listener can already picture. At Torrington, investigate the advertised performers and let that knowledge change the scene. At Trinity, explain the orchestra and its relationship with this church before relying on a stock rehearsal description.</w:t>
      </w:r>
    </w:p>
    <w:p>
      <w:r>
        <w:t>Finish the explanatory connection. At artsdepot, campaigners' documented reasons for wanting cultural space could connect the local events to a larger insight. Wider thought is welcome when the evidence and place support it. Keep an explicit allowance for digressions so they do not accumulate unnoticed. The proposed 25% cap remains an experiment, not an agreed rule; record an actual time allowance and rationale for each story.</w:t>
      </w:r>
    </w:p>
    <w:p>
      <w:r>
        <w:t>Use the ending that suits the walk: a payoff, reflection, changed perspective or quiet completion. Return to today's place and make the endpoint clear. Avoid minor solemn subjects for this enjoyable-tour brief; a major solemn attraction calls for restrained treatment. This preference is specific to the owner and intended experience.</w:t>
      </w:r>
    </w:p>
    <w:p>
      <w:r/>
      <w:r>
        <w:rPr>
          <w:b/>
        </w:rPr>
        <w:t>Handoff:</w:t>
      </w:r>
      <w:r>
        <w:t xml:space="preserve"> narration, spoken directions, claim references, reconstruction notes, planned duration, pronunciation notes and the connection to the tour's theme. Missing research returns to its owner rather than being patched with generic prose.</w:t>
      </w:r>
    </w:p>
    <w:p>
      <w:pPr>
        <w:pStyle w:val="Heading1"/>
      </w:pPr>
      <w:r>
        <w:t>5 Divide the work and integrate it</w:t>
      </w:r>
    </w:p>
    <w:p>
      <w:r>
        <w:t xml:space="preserve">Use bounded tasks with shared evidence and clear ownership. The </w:t>
      </w:r>
      <w:hyperlink r:id="rId10">
        <w:r>
          <w:rPr>
            <w:color w:val="225477"/>
          </w:rPr>
          <w:t>agent briefs</w:t>
        </w:r>
      </w:hyperlink>
      <w:r>
        <w:t xml:space="preserve"> are ready to copy into an assigned authoring task. They do not require six simultaneous agents or a software orchestration framework.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3960"/>
      </w:tblGrid>
      <w:tr>
        <w:trPr>
          <w:cantSplit/>
          <w:tblHeader/>
        </w:trPr>
        <w:tc>
          <w:tcPr>
            <w:tcW w:type="dxa" w:w="2016"/>
            <w:tcMar>
              <w:top w:w="90" w:type="dxa"/>
              <w:bottom w:w="90" w:type="dxa"/>
              <w:left w:w="90" w:type="dxa"/>
              <w:right w:w="90" w:type="dxa"/>
            </w:tcMar>
            <w:shd w:fill="F2F2F2"/>
          </w:tcPr>
          <w:p>
            <w:pPr>
              <w:keepNext/>
              <w:spacing w:after="40" w:line="245" w:lineRule="auto"/>
            </w:pPr>
            <w:r>
              <w:rPr>
                <w:b/>
                <w:sz w:val="20"/>
              </w:rPr>
              <w:t>Role</w:t>
            </w:r>
          </w:p>
        </w:tc>
        <w:tc>
          <w:tcPr>
            <w:tcW w:type="dxa" w:w="3816"/>
            <w:tcMar>
              <w:top w:w="90" w:type="dxa"/>
              <w:bottom w:w="90" w:type="dxa"/>
              <w:left w:w="90" w:type="dxa"/>
              <w:right w:w="90" w:type="dxa"/>
            </w:tcMar>
            <w:shd w:fill="F2F2F2"/>
          </w:tcPr>
          <w:p>
            <w:pPr>
              <w:keepNext/>
              <w:spacing w:after="40" w:line="245" w:lineRule="auto"/>
            </w:pPr>
            <w:r>
              <w:rPr>
                <w:b/>
                <w:sz w:val="20"/>
              </w:rPr>
              <w:t>Main deliverable</w:t>
            </w:r>
          </w:p>
        </w:tc>
        <w:tc>
          <w:tcPr>
            <w:tcW w:type="dxa" w:w="3960"/>
            <w:tcMar>
              <w:top w:w="90" w:type="dxa"/>
              <w:bottom w:w="90" w:type="dxa"/>
              <w:left w:w="90" w:type="dxa"/>
              <w:right w:w="90" w:type="dxa"/>
            </w:tcMar>
            <w:shd w:fill="F2F2F2"/>
          </w:tcPr>
          <w:p>
            <w:pPr>
              <w:keepNext/>
              <w:spacing w:after="40" w:line="245" w:lineRule="auto"/>
            </w:pPr>
            <w:r>
              <w:rPr>
                <w:b/>
                <w:sz w:val="20"/>
              </w:rPr>
              <w:t>Needs from others</w:t>
            </w:r>
          </w:p>
        </w:tc>
      </w:tr>
      <w:tr>
        <w:trPr>
          <w:cantSplit/>
        </w:trPr>
        <w:tc>
          <w:tcPr>
            <w:tcW w:type="dxa" w:w="2016"/>
            <w:tcMar>
              <w:top w:w="90" w:type="dxa"/>
              <w:bottom w:w="90" w:type="dxa"/>
              <w:left w:w="90" w:type="dxa"/>
              <w:right w:w="90" w:type="dxa"/>
            </w:tcMar>
          </w:tcPr>
          <w:p>
            <w:pPr>
              <w:keepNext/>
              <w:spacing w:after="40" w:line="245" w:lineRule="auto"/>
            </w:pPr>
            <w:r>
              <w:rPr>
                <w:b w:val="0"/>
                <w:sz w:val="20"/>
              </w:rPr>
              <w:t>Survey researcher</w:t>
            </w:r>
          </w:p>
        </w:tc>
        <w:tc>
          <w:tcPr>
            <w:tcW w:type="dxa" w:w="3816"/>
            <w:tcMar>
              <w:top w:w="90" w:type="dxa"/>
              <w:bottom w:w="90" w:type="dxa"/>
              <w:left w:w="90" w:type="dxa"/>
              <w:right w:w="90" w:type="dxa"/>
            </w:tcMar>
          </w:tcPr>
          <w:p>
            <w:pPr>
              <w:keepNext/>
              <w:spacing w:after="40" w:line="245" w:lineRule="auto"/>
            </w:pPr>
            <w:r>
              <w:rPr>
                <w:b w:val="0"/>
                <w:sz w:val="20"/>
              </w:rPr>
              <w:t>Published-tour catalogue and candidate angles</w:t>
            </w:r>
          </w:p>
        </w:tc>
        <w:tc>
          <w:tcPr>
            <w:tcW w:type="dxa" w:w="3960"/>
            <w:tcMar>
              <w:top w:w="90" w:type="dxa"/>
              <w:bottom w:w="90" w:type="dxa"/>
              <w:left w:w="90" w:type="dxa"/>
              <w:right w:w="90" w:type="dxa"/>
            </w:tcMar>
          </w:tcPr>
          <w:p>
            <w:pPr>
              <w:keepNext/>
              <w:spacing w:after="40" w:line="245" w:lineRule="auto"/>
            </w:pPr>
            <w:r>
              <w:rPr>
                <w:b w:val="0"/>
                <w:sz w:val="20"/>
              </w:rPr>
              <w:t>Area and brief</w:t>
            </w:r>
          </w:p>
        </w:tc>
      </w:tr>
      <w:tr>
        <w:trPr>
          <w:cantSplit/>
        </w:trPr>
        <w:tc>
          <w:tcPr>
            <w:tcW w:type="dxa" w:w="2016"/>
            <w:tcMar>
              <w:top w:w="90" w:type="dxa"/>
              <w:bottom w:w="90" w:type="dxa"/>
              <w:left w:w="90" w:type="dxa"/>
              <w:right w:w="90" w:type="dxa"/>
            </w:tcMar>
          </w:tcPr>
          <w:p>
            <w:pPr>
              <w:keepNext/>
              <w:spacing w:after="40" w:line="245" w:lineRule="auto"/>
            </w:pPr>
            <w:r>
              <w:rPr>
                <w:b w:val="0"/>
                <w:sz w:val="20"/>
              </w:rPr>
              <w:t>Story researcher</w:t>
            </w:r>
          </w:p>
        </w:tc>
        <w:tc>
          <w:tcPr>
            <w:tcW w:type="dxa" w:w="3816"/>
            <w:tcMar>
              <w:top w:w="90" w:type="dxa"/>
              <w:bottom w:w="90" w:type="dxa"/>
              <w:left w:w="90" w:type="dxa"/>
              <w:right w:w="90" w:type="dxa"/>
            </w:tcMar>
          </w:tcPr>
          <w:p>
            <w:pPr>
              <w:keepNext/>
              <w:spacing w:after="40" w:line="245" w:lineRule="auto"/>
            </w:pPr>
            <w:r>
              <w:rPr>
                <w:b w:val="0"/>
                <w:sz w:val="20"/>
              </w:rPr>
              <w:t>Claims, actors, relationships and current context</w:t>
            </w:r>
          </w:p>
        </w:tc>
        <w:tc>
          <w:tcPr>
            <w:tcW w:type="dxa" w:w="3960"/>
            <w:tcMar>
              <w:top w:w="90" w:type="dxa"/>
              <w:bottom w:w="90" w:type="dxa"/>
              <w:left w:w="90" w:type="dxa"/>
              <w:right w:w="90" w:type="dxa"/>
            </w:tcMar>
          </w:tcPr>
          <w:p>
            <w:pPr>
              <w:keepNext/>
              <w:spacing w:after="40" w:line="245" w:lineRule="auto"/>
            </w:pPr>
            <w:r>
              <w:rPr>
                <w:b w:val="0"/>
                <w:sz w:val="20"/>
              </w:rPr>
              <w:t>Candidate list</w:t>
            </w:r>
          </w:p>
        </w:tc>
      </w:tr>
      <w:tr>
        <w:trPr>
          <w:cantSplit/>
        </w:trPr>
        <w:tc>
          <w:tcPr>
            <w:tcW w:type="dxa" w:w="2016"/>
            <w:tcMar>
              <w:top w:w="90" w:type="dxa"/>
              <w:bottom w:w="90" w:type="dxa"/>
              <w:left w:w="90" w:type="dxa"/>
              <w:right w:w="90" w:type="dxa"/>
            </w:tcMar>
          </w:tcPr>
          <w:p>
            <w:pPr>
              <w:keepNext/>
              <w:spacing w:after="40" w:line="245" w:lineRule="auto"/>
            </w:pPr>
            <w:r>
              <w:rPr>
                <w:b w:val="0"/>
                <w:sz w:val="20"/>
              </w:rPr>
              <w:t>Curator</w:t>
            </w:r>
          </w:p>
        </w:tc>
        <w:tc>
          <w:tcPr>
            <w:tcW w:type="dxa" w:w="3816"/>
            <w:tcMar>
              <w:top w:w="90" w:type="dxa"/>
              <w:bottom w:w="90" w:type="dxa"/>
              <w:left w:w="90" w:type="dxa"/>
              <w:right w:w="90" w:type="dxa"/>
            </w:tcMar>
          </w:tcPr>
          <w:p>
            <w:pPr>
              <w:keepNext/>
              <w:spacing w:after="40" w:line="245" w:lineRule="auto"/>
            </w:pPr>
            <w:r>
              <w:rPr>
                <w:b w:val="0"/>
                <w:sz w:val="20"/>
              </w:rPr>
              <w:t>Theme, sequence, budgets and inclusion decisions</w:t>
            </w:r>
          </w:p>
        </w:tc>
        <w:tc>
          <w:tcPr>
            <w:tcW w:type="dxa" w:w="3960"/>
            <w:tcMar>
              <w:top w:w="90" w:type="dxa"/>
              <w:bottom w:w="90" w:type="dxa"/>
              <w:left w:w="90" w:type="dxa"/>
              <w:right w:w="90" w:type="dxa"/>
            </w:tcMar>
          </w:tcPr>
          <w:p>
            <w:pPr>
              <w:keepNext/>
              <w:spacing w:after="40" w:line="245" w:lineRule="auto"/>
            </w:pPr>
            <w:r>
              <w:rPr>
                <w:b w:val="0"/>
                <w:sz w:val="20"/>
              </w:rPr>
              <w:t>Research and route feasibility</w:t>
            </w:r>
          </w:p>
        </w:tc>
      </w:tr>
      <w:tr>
        <w:trPr>
          <w:cantSplit/>
        </w:trPr>
        <w:tc>
          <w:tcPr>
            <w:tcW w:type="dxa" w:w="2016"/>
            <w:tcMar>
              <w:top w:w="90" w:type="dxa"/>
              <w:bottom w:w="90" w:type="dxa"/>
              <w:left w:w="90" w:type="dxa"/>
              <w:right w:w="90" w:type="dxa"/>
            </w:tcMar>
          </w:tcPr>
          <w:p>
            <w:pPr>
              <w:keepNext/>
              <w:spacing w:after="40" w:line="245" w:lineRule="auto"/>
            </w:pPr>
            <w:r>
              <w:rPr>
                <w:b w:val="0"/>
                <w:sz w:val="20"/>
              </w:rPr>
              <w:t>Route reviewer</w:t>
            </w:r>
          </w:p>
        </w:tc>
        <w:tc>
          <w:tcPr>
            <w:tcW w:type="dxa" w:w="3816"/>
            <w:tcMar>
              <w:top w:w="90" w:type="dxa"/>
              <w:bottom w:w="90" w:type="dxa"/>
              <w:left w:w="90" w:type="dxa"/>
              <w:right w:w="90" w:type="dxa"/>
            </w:tcMar>
          </w:tcPr>
          <w:p>
            <w:pPr>
              <w:keepNext/>
              <w:spacing w:after="40" w:line="245" w:lineRule="auto"/>
            </w:pPr>
            <w:r>
              <w:rPr>
                <w:b w:val="0"/>
                <w:sz w:val="20"/>
              </w:rPr>
              <w:t>Standing areas, approaches, directions and limitations</w:t>
            </w:r>
          </w:p>
        </w:tc>
        <w:tc>
          <w:tcPr>
            <w:tcW w:type="dxa" w:w="3960"/>
            <w:tcMar>
              <w:top w:w="90" w:type="dxa"/>
              <w:bottom w:w="90" w:type="dxa"/>
              <w:left w:w="90" w:type="dxa"/>
              <w:right w:w="90" w:type="dxa"/>
            </w:tcMar>
          </w:tcPr>
          <w:p>
            <w:pPr>
              <w:keepNext/>
              <w:spacing w:after="40" w:line="245" w:lineRule="auto"/>
            </w:pPr>
            <w:r>
              <w:rPr>
                <w:b w:val="0"/>
                <w:sz w:val="20"/>
              </w:rPr>
              <w:t>Candidate locations and incoming route</w:t>
            </w:r>
          </w:p>
        </w:tc>
      </w:tr>
      <w:tr>
        <w:trPr>
          <w:cantSplit/>
        </w:trPr>
        <w:tc>
          <w:tcPr>
            <w:tcW w:type="dxa" w:w="2016"/>
            <w:tcMar>
              <w:top w:w="90" w:type="dxa"/>
              <w:bottom w:w="90" w:type="dxa"/>
              <w:left w:w="90" w:type="dxa"/>
              <w:right w:w="90" w:type="dxa"/>
            </w:tcMar>
          </w:tcPr>
          <w:p>
            <w:pPr>
              <w:keepNext/>
              <w:spacing w:after="40" w:line="245" w:lineRule="auto"/>
            </w:pPr>
            <w:r>
              <w:rPr>
                <w:b w:val="0"/>
                <w:sz w:val="20"/>
              </w:rPr>
              <w:t>Writer</w:t>
            </w:r>
          </w:p>
        </w:tc>
        <w:tc>
          <w:tcPr>
            <w:tcW w:type="dxa" w:w="3816"/>
            <w:tcMar>
              <w:top w:w="90" w:type="dxa"/>
              <w:bottom w:w="90" w:type="dxa"/>
              <w:left w:w="90" w:type="dxa"/>
              <w:right w:w="90" w:type="dxa"/>
            </w:tcMar>
          </w:tcPr>
          <w:p>
            <w:pPr>
              <w:keepNext/>
              <w:spacing w:after="40" w:line="245" w:lineRule="auto"/>
            </w:pPr>
            <w:r>
              <w:rPr>
                <w:b w:val="0"/>
                <w:sz w:val="20"/>
              </w:rPr>
              <w:t>Narration with evidence and scene rationale</w:t>
            </w:r>
          </w:p>
        </w:tc>
        <w:tc>
          <w:tcPr>
            <w:tcW w:type="dxa" w:w="3960"/>
            <w:tcMar>
              <w:top w:w="90" w:type="dxa"/>
              <w:bottom w:w="90" w:type="dxa"/>
              <w:left w:w="90" w:type="dxa"/>
              <w:right w:w="90" w:type="dxa"/>
            </w:tcMar>
          </w:tcPr>
          <w:p>
            <w:pPr>
              <w:keepNext/>
              <w:spacing w:after="40" w:line="245" w:lineRule="auto"/>
            </w:pPr>
            <w:r>
              <w:rPr>
                <w:b w:val="0"/>
                <w:sz w:val="20"/>
              </w:rPr>
              <w:t>Agreed outline and reviewed physical context</w:t>
            </w:r>
          </w:p>
        </w:tc>
      </w:tr>
      <w:tr>
        <w:trPr>
          <w:cantSplit/>
        </w:trPr>
        <w:tc>
          <w:tcPr>
            <w:tcW w:type="dxa" w:w="2016"/>
            <w:tcMar>
              <w:top w:w="90" w:type="dxa"/>
              <w:bottom w:w="90" w:type="dxa"/>
              <w:left w:w="90" w:type="dxa"/>
              <w:right w:w="90" w:type="dxa"/>
            </w:tcMar>
          </w:tcPr>
          <w:p>
            <w:pPr>
              <w:keepNext w:val="0"/>
              <w:spacing w:after="40" w:line="245" w:lineRule="auto"/>
            </w:pPr>
            <w:r>
              <w:rPr>
                <w:b w:val="0"/>
                <w:sz w:val="20"/>
              </w:rPr>
              <w:t>Independent reviewer</w:t>
            </w:r>
          </w:p>
        </w:tc>
        <w:tc>
          <w:tcPr>
            <w:tcW w:type="dxa" w:w="3816"/>
            <w:tcMar>
              <w:top w:w="90" w:type="dxa"/>
              <w:bottom w:w="90" w:type="dxa"/>
              <w:left w:w="90" w:type="dxa"/>
              <w:right w:w="90" w:type="dxa"/>
            </w:tcMar>
          </w:tcPr>
          <w:p>
            <w:pPr>
              <w:keepNext w:val="0"/>
              <w:spacing w:after="40" w:line="245" w:lineRule="auto"/>
            </w:pPr>
            <w:r>
              <w:rPr>
                <w:b w:val="0"/>
                <w:sz w:val="20"/>
              </w:rPr>
              <w:t>Specific findings against the actual script and route</w:t>
            </w:r>
          </w:p>
        </w:tc>
        <w:tc>
          <w:tcPr>
            <w:tcW w:type="dxa" w:w="3960"/>
            <w:tcMar>
              <w:top w:w="90" w:type="dxa"/>
              <w:bottom w:w="90" w:type="dxa"/>
              <w:left w:w="90" w:type="dxa"/>
              <w:right w:w="90" w:type="dxa"/>
            </w:tcMar>
          </w:tcPr>
          <w:p>
            <w:pPr>
              <w:keepNext w:val="0"/>
              <w:spacing w:after="40" w:line="245" w:lineRule="auto"/>
            </w:pPr>
            <w:r>
              <w:rPr>
                <w:b w:val="0"/>
                <w:sz w:val="20"/>
              </w:rPr>
              <w:t>Full assembled experience</w:t>
            </w:r>
          </w:p>
        </w:tc>
      </w:tr>
    </w:tbl>
    <w:p>
      <w:pPr>
        <w:spacing w:after="0"/>
      </w:pPr>
    </w:p>
    <w:p>
      <w:r>
        <w:t>The lead assigns non-overlapping outputs, reconciles findings and owns the full walk. Research and route discovery can run independently once candidates exist. Final writing waits for their material decisions; final review examines the integrated route and narration. Do not ask a writer to certify its own unsupported leap simply because it wrote it fluently.</w:t>
      </w:r>
    </w:p>
    <w:p>
      <w:pPr>
        <w:pStyle w:val="Heading1"/>
      </w:pPr>
      <w:r>
        <w:t>6 Review with concrete examples</w:t>
      </w:r>
    </w:p>
    <w:p>
      <w:r>
        <w:t>The reviewer asks whether the story works for someone standing here now, hearing it once. Review the actual script before treating a complaint as a missing-fact request: the artsdepot script already opens with 1937, despite feedback asking for temporal bearings. That may concern delivery or where context is used in the evocation; the cause is not established by the rating. Strengthen the experience, rather than mechanically adding another date.</w:t>
      </w:r>
    </w:p>
    <w:p>
      <w:r>
        <w:t>Use these Finchley examples as calibration, without commissioning new recordings of them: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3960"/>
      </w:tblGrid>
      <w:tr>
        <w:trPr>
          <w:cantSplit/>
          <w:tblHeader/>
        </w:trPr>
        <w:tc>
          <w:tcPr>
            <w:tcW w:type="dxa" w:w="2016"/>
            <w:tcMar>
              <w:top w:w="90" w:type="dxa"/>
              <w:bottom w:w="90" w:type="dxa"/>
              <w:left w:w="90" w:type="dxa"/>
              <w:right w:w="90" w:type="dxa"/>
            </w:tcMar>
            <w:shd w:fill="F2F2F2"/>
          </w:tcPr>
          <w:p>
            <w:pPr>
              <w:keepNext/>
              <w:spacing w:after="40" w:line="245" w:lineRule="auto"/>
            </w:pPr>
            <w:r>
              <w:rPr>
                <w:b/>
                <w:sz w:val="20"/>
              </w:rPr>
              <w:t>Example</w:t>
            </w:r>
          </w:p>
        </w:tc>
        <w:tc>
          <w:tcPr>
            <w:tcW w:type="dxa" w:w="3816"/>
            <w:tcMar>
              <w:top w:w="90" w:type="dxa"/>
              <w:bottom w:w="90" w:type="dxa"/>
              <w:left w:w="90" w:type="dxa"/>
              <w:right w:w="90" w:type="dxa"/>
            </w:tcMar>
            <w:shd w:fill="F2F2F2"/>
          </w:tcPr>
          <w:p>
            <w:pPr>
              <w:keepNext/>
              <w:spacing w:after="40" w:line="245" w:lineRule="auto"/>
            </w:pPr>
            <w:r>
              <w:rPr>
                <w:b/>
                <w:sz w:val="20"/>
              </w:rPr>
              <w:t>What to catch</w:t>
            </w:r>
          </w:p>
        </w:tc>
        <w:tc>
          <w:tcPr>
            <w:tcW w:type="dxa" w:w="3960"/>
            <w:tcMar>
              <w:top w:w="90" w:type="dxa"/>
              <w:bottom w:w="90" w:type="dxa"/>
              <w:left w:w="90" w:type="dxa"/>
              <w:right w:w="90" w:type="dxa"/>
            </w:tcMar>
            <w:shd w:fill="F2F2F2"/>
          </w:tcPr>
          <w:p>
            <w:pPr>
              <w:keepNext/>
              <w:spacing w:after="40" w:line="245" w:lineRule="auto"/>
            </w:pPr>
            <w:r>
              <w:rPr>
                <w:b/>
                <w:sz w:val="20"/>
              </w:rPr>
              <w:t>What better preparation supplies</w:t>
            </w:r>
          </w:p>
        </w:tc>
      </w:tr>
      <w:tr>
        <w:trPr>
          <w:cantSplit/>
        </w:trPr>
        <w:tc>
          <w:tcPr>
            <w:tcW w:type="dxa" w:w="2016"/>
            <w:tcMar>
              <w:top w:w="90" w:type="dxa"/>
              <w:bottom w:w="90" w:type="dxa"/>
              <w:left w:w="90" w:type="dxa"/>
              <w:right w:w="90" w:type="dxa"/>
            </w:tcMar>
          </w:tcPr>
          <w:p>
            <w:pPr>
              <w:keepNext/>
              <w:spacing w:after="40" w:line="245" w:lineRule="auto"/>
            </w:pPr>
            <w:r>
              <w:rPr>
                <w:b w:val="0"/>
                <w:sz w:val="20"/>
              </w:rPr>
              <w:t>Tally Ho</w:t>
            </w:r>
          </w:p>
        </w:tc>
        <w:tc>
          <w:tcPr>
            <w:tcW w:type="dxa" w:w="3816"/>
            <w:tcMar>
              <w:top w:w="90" w:type="dxa"/>
              <w:bottom w:w="90" w:type="dxa"/>
              <w:left w:w="90" w:type="dxa"/>
              <w:right w:w="90" w:type="dxa"/>
            </w:tcMar>
          </w:tcPr>
          <w:p>
            <w:pPr>
              <w:keepNext/>
              <w:spacing w:after="40" w:line="245" w:lineRule="auto"/>
            </w:pPr>
            <w:r>
              <w:rPr>
                <w:b w:val="0"/>
                <w:sz w:val="20"/>
              </w:rPr>
              <w:t>Secondary road/anecdote before the principal context; research ends too early</w:t>
            </w:r>
          </w:p>
        </w:tc>
        <w:tc>
          <w:tcPr>
            <w:tcW w:type="dxa" w:w="3960"/>
            <w:tcMar>
              <w:top w:w="90" w:type="dxa"/>
              <w:bottom w:w="90" w:type="dxa"/>
              <w:left w:w="90" w:type="dxa"/>
              <w:right w:w="90" w:type="dxa"/>
            </w:tcMar>
          </w:tcPr>
          <w:p>
            <w:pPr>
              <w:keepNext/>
              <w:spacing w:after="40" w:line="245" w:lineRule="auto"/>
            </w:pPr>
            <w:r>
              <w:rPr>
                <w:b w:val="0"/>
                <w:sz w:val="20"/>
              </w:rPr>
              <w:t>Historical hierarchy and a connected account</w:t>
            </w:r>
          </w:p>
        </w:tc>
      </w:tr>
      <w:tr>
        <w:trPr>
          <w:cantSplit/>
        </w:trPr>
        <w:tc>
          <w:tcPr>
            <w:tcW w:type="dxa" w:w="2016"/>
            <w:tcMar>
              <w:top w:w="90" w:type="dxa"/>
              <w:bottom w:w="90" w:type="dxa"/>
              <w:left w:w="90" w:type="dxa"/>
              <w:right w:w="90" w:type="dxa"/>
            </w:tcMar>
          </w:tcPr>
          <w:p>
            <w:pPr>
              <w:keepNext/>
              <w:spacing w:after="40" w:line="245" w:lineRule="auto"/>
            </w:pPr>
            <w:r>
              <w:rPr>
                <w:b w:val="0"/>
                <w:sz w:val="20"/>
              </w:rPr>
              <w:t>Moss Hall Crescent</w:t>
            </w:r>
          </w:p>
        </w:tc>
        <w:tc>
          <w:tcPr>
            <w:tcW w:type="dxa" w:w="3816"/>
            <w:tcMar>
              <w:top w:w="90" w:type="dxa"/>
              <w:bottom w:w="90" w:type="dxa"/>
              <w:left w:w="90" w:type="dxa"/>
              <w:right w:w="90" w:type="dxa"/>
            </w:tcMar>
          </w:tcPr>
          <w:p>
            <w:pPr>
              <w:keepNext/>
              <w:spacing w:after="40" w:line="245" w:lineRule="auto"/>
            </w:pPr>
            <w:r>
              <w:rPr>
                <w:b w:val="0"/>
                <w:sz w:val="20"/>
              </w:rPr>
              <w:t>Shared amenity implies an unexplained social arrangement</w:t>
            </w:r>
          </w:p>
        </w:tc>
        <w:tc>
          <w:tcPr>
            <w:tcW w:type="dxa" w:w="3960"/>
            <w:tcMar>
              <w:top w:w="90" w:type="dxa"/>
              <w:bottom w:w="90" w:type="dxa"/>
              <w:left w:w="90" w:type="dxa"/>
              <w:right w:w="90" w:type="dxa"/>
            </w:tcMar>
          </w:tcPr>
          <w:p>
            <w:pPr>
              <w:keepNext/>
              <w:spacing w:after="40" w:line="245" w:lineRule="auto"/>
            </w:pPr>
            <w:r>
              <w:rPr>
                <w:b w:val="0"/>
                <w:sz w:val="20"/>
              </w:rPr>
              <w:t>Named actors, supported relationships and explicit unknowns</w:t>
            </w:r>
          </w:p>
        </w:tc>
      </w:tr>
      <w:tr>
        <w:trPr>
          <w:cantSplit/>
        </w:trPr>
        <w:tc>
          <w:tcPr>
            <w:tcW w:type="dxa" w:w="2016"/>
            <w:tcMar>
              <w:top w:w="90" w:type="dxa"/>
              <w:bottom w:w="90" w:type="dxa"/>
              <w:left w:w="90" w:type="dxa"/>
              <w:right w:w="90" w:type="dxa"/>
            </w:tcMar>
          </w:tcPr>
          <w:p>
            <w:pPr>
              <w:keepNext/>
              <w:spacing w:after="40" w:line="245" w:lineRule="auto"/>
            </w:pPr>
            <w:r>
              <w:rPr>
                <w:b w:val="0"/>
                <w:sz w:val="20"/>
              </w:rPr>
              <w:t>Crescent turn</w:t>
            </w:r>
          </w:p>
        </w:tc>
        <w:tc>
          <w:tcPr>
            <w:tcW w:type="dxa" w:w="3816"/>
            <w:tcMar>
              <w:top w:w="90" w:type="dxa"/>
              <w:bottom w:w="90" w:type="dxa"/>
              <w:left w:w="90" w:type="dxa"/>
              <w:right w:w="90" w:type="dxa"/>
            </w:tcMar>
          </w:tcPr>
          <w:p>
            <w:pPr>
              <w:keepNext/>
              <w:spacing w:after="40" w:line="245" w:lineRule="auto"/>
            </w:pPr>
            <w:r>
              <w:rPr>
                <w:b w:val="0"/>
                <w:sz w:val="20"/>
              </w:rPr>
              <w:t>Destination imagery substitutes for incoming-junction review</w:t>
            </w:r>
          </w:p>
        </w:tc>
        <w:tc>
          <w:tcPr>
            <w:tcW w:type="dxa" w:w="3960"/>
            <w:tcMar>
              <w:top w:w="90" w:type="dxa"/>
              <w:bottom w:w="90" w:type="dxa"/>
              <w:left w:w="90" w:type="dxa"/>
              <w:right w:w="90" w:type="dxa"/>
            </w:tcMar>
          </w:tcPr>
          <w:p>
            <w:pPr>
              <w:keepNext/>
              <w:spacing w:after="40" w:line="245" w:lineRule="auto"/>
            </w:pPr>
            <w:r>
              <w:rPr>
                <w:b w:val="0"/>
                <w:sz w:val="20"/>
              </w:rPr>
              <w:t>Approach-aware map/imagery evidence and usable direction</w:t>
            </w:r>
          </w:p>
        </w:tc>
      </w:tr>
      <w:tr>
        <w:trPr>
          <w:cantSplit/>
        </w:trPr>
        <w:tc>
          <w:tcPr>
            <w:tcW w:type="dxa" w:w="2016"/>
            <w:tcMar>
              <w:top w:w="90" w:type="dxa"/>
              <w:bottom w:w="90" w:type="dxa"/>
              <w:left w:w="90" w:type="dxa"/>
              <w:right w:w="90" w:type="dxa"/>
            </w:tcMar>
          </w:tcPr>
          <w:p>
            <w:pPr>
              <w:keepNext/>
              <w:spacing w:after="40" w:line="245" w:lineRule="auto"/>
            </w:pPr>
            <w:r>
              <w:rPr>
                <w:b w:val="0"/>
                <w:sz w:val="20"/>
              </w:rPr>
              <w:t>Torrington</w:t>
            </w:r>
          </w:p>
        </w:tc>
        <w:tc>
          <w:tcPr>
            <w:tcW w:type="dxa" w:w="3816"/>
            <w:tcMar>
              <w:top w:w="90" w:type="dxa"/>
              <w:bottom w:w="90" w:type="dxa"/>
              <w:left w:w="90" w:type="dxa"/>
              <w:right w:w="90" w:type="dxa"/>
            </w:tcMar>
          </w:tcPr>
          <w:p>
            <w:pPr>
              <w:keepNext/>
              <w:spacing w:after="40" w:line="245" w:lineRule="auto"/>
            </w:pPr>
            <w:r>
              <w:rPr>
                <w:b w:val="0"/>
                <w:sz w:val="20"/>
              </w:rPr>
              <w:t>Named performers and a generic gig scene</w:t>
            </w:r>
          </w:p>
        </w:tc>
        <w:tc>
          <w:tcPr>
            <w:tcW w:type="dxa" w:w="3960"/>
            <w:tcMar>
              <w:top w:w="90" w:type="dxa"/>
              <w:bottom w:w="90" w:type="dxa"/>
              <w:left w:w="90" w:type="dxa"/>
              <w:right w:w="90" w:type="dxa"/>
            </w:tcMar>
          </w:tcPr>
          <w:p>
            <w:pPr>
              <w:keepNext/>
              <w:spacing w:after="40" w:line="245" w:lineRule="auto"/>
            </w:pPr>
            <w:r>
              <w:rPr>
                <w:b w:val="0"/>
                <w:sz w:val="20"/>
              </w:rPr>
              <w:t>Identity/period research that changes the imagined night</w:t>
            </w:r>
          </w:p>
        </w:tc>
      </w:tr>
      <w:tr>
        <w:trPr>
          <w:cantSplit/>
        </w:trPr>
        <w:tc>
          <w:tcPr>
            <w:tcW w:type="dxa" w:w="2016"/>
            <w:tcMar>
              <w:top w:w="90" w:type="dxa"/>
              <w:bottom w:w="90" w:type="dxa"/>
              <w:left w:w="90" w:type="dxa"/>
              <w:right w:w="90" w:type="dxa"/>
            </w:tcMar>
          </w:tcPr>
          <w:p>
            <w:pPr>
              <w:keepNext/>
              <w:spacing w:after="40" w:line="245" w:lineRule="auto"/>
            </w:pPr>
            <w:r>
              <w:rPr>
                <w:b w:val="0"/>
                <w:sz w:val="20"/>
              </w:rPr>
              <w:t>Grand Arcade</w:t>
            </w:r>
          </w:p>
        </w:tc>
        <w:tc>
          <w:tcPr>
            <w:tcW w:type="dxa" w:w="3816"/>
            <w:tcMar>
              <w:top w:w="90" w:type="dxa"/>
              <w:bottom w:w="90" w:type="dxa"/>
              <w:left w:w="90" w:type="dxa"/>
              <w:right w:w="90" w:type="dxa"/>
            </w:tcMar>
          </w:tcPr>
          <w:p>
            <w:pPr>
              <w:keepNext/>
              <w:spacing w:after="40" w:line="245" w:lineRule="auto"/>
            </w:pPr>
            <w:r>
              <w:rPr>
                <w:b w:val="0"/>
                <w:sz w:val="20"/>
              </w:rPr>
              <w:t>Historical preservation story ends before today's visible decline</w:t>
            </w:r>
          </w:p>
        </w:tc>
        <w:tc>
          <w:tcPr>
            <w:tcW w:type="dxa" w:w="3960"/>
            <w:tcMar>
              <w:top w:w="90" w:type="dxa"/>
              <w:bottom w:w="90" w:type="dxa"/>
              <w:left w:w="90" w:type="dxa"/>
              <w:right w:w="90" w:type="dxa"/>
            </w:tcMar>
          </w:tcPr>
          <w:p>
            <w:pPr>
              <w:keepNext/>
              <w:spacing w:after="40" w:line="245" w:lineRule="auto"/>
            </w:pPr>
            <w:r>
              <w:rPr>
                <w:b w:val="0"/>
                <w:sz w:val="20"/>
              </w:rPr>
              <w:t>Current context, surviving businesses and open causal questions</w:t>
            </w:r>
          </w:p>
        </w:tc>
      </w:tr>
      <w:tr>
        <w:trPr>
          <w:cantSplit/>
        </w:trPr>
        <w:tc>
          <w:tcPr>
            <w:tcW w:type="dxa" w:w="2016"/>
            <w:tcMar>
              <w:top w:w="90" w:type="dxa"/>
              <w:bottom w:w="90" w:type="dxa"/>
              <w:left w:w="90" w:type="dxa"/>
              <w:right w:w="90" w:type="dxa"/>
            </w:tcMar>
          </w:tcPr>
          <w:p>
            <w:pPr>
              <w:keepNext w:val="0"/>
              <w:spacing w:after="40" w:line="245" w:lineRule="auto"/>
            </w:pPr>
            <w:r>
              <w:rPr>
                <w:b w:val="0"/>
                <w:sz w:val="20"/>
              </w:rPr>
              <w:t>artsdepot</w:t>
            </w:r>
          </w:p>
        </w:tc>
        <w:tc>
          <w:tcPr>
            <w:tcW w:type="dxa" w:w="3816"/>
            <w:tcMar>
              <w:top w:w="90" w:type="dxa"/>
              <w:bottom w:w="90" w:type="dxa"/>
              <w:left w:w="90" w:type="dxa"/>
              <w:right w:w="90" w:type="dxa"/>
            </w:tcMar>
          </w:tcPr>
          <w:p>
            <w:pPr>
              <w:keepNext w:val="0"/>
              <w:spacing w:after="40" w:line="245" w:lineRule="auto"/>
            </w:pPr>
            <w:r>
              <w:rPr>
                <w:b w:val="0"/>
                <w:sz w:val="20"/>
              </w:rPr>
              <w:t>Events are assembled but their meaning is only hinted at</w:t>
            </w:r>
          </w:p>
        </w:tc>
        <w:tc>
          <w:tcPr>
            <w:tcW w:type="dxa" w:w="3960"/>
            <w:tcMar>
              <w:top w:w="90" w:type="dxa"/>
              <w:bottom w:w="90" w:type="dxa"/>
              <w:left w:w="90" w:type="dxa"/>
              <w:right w:w="90" w:type="dxa"/>
            </w:tcMar>
          </w:tcPr>
          <w:p>
            <w:pPr>
              <w:keepNext w:val="0"/>
              <w:spacing w:after="40" w:line="245" w:lineRule="auto"/>
            </w:pPr>
            <w:r>
              <w:rPr>
                <w:b w:val="0"/>
                <w:sz w:val="20"/>
              </w:rPr>
              <w:t>Documented motives connected to a grounded insight</w:t>
            </w:r>
          </w:p>
        </w:tc>
      </w:tr>
    </w:tbl>
    <w:p>
      <w:pPr>
        <w:spacing w:after="0"/>
      </w:pPr>
    </w:p>
    <w:p>
      <w:r>
        <w:t>Keep a small findings list: the actual passage or route point, why it matters, the evidence, the responsible role and a concrete remedy. Fix material factual/access problems and gaps that defeat the story. Do not turn harmless stylistic preferences into an endless review cycle. The lead records consciously retained limitations and resolves contradictory advice.</w:t>
      </w:r>
    </w:p>
    <w:p>
      <w:pPr>
        <w:pStyle w:val="Heading1"/>
      </w:pPr>
      <w:r>
        <w:t>7 Release and learn proportionately</w:t>
      </w:r>
    </w:p>
    <w:p>
      <w:r>
        <w:t>Generate audio after reviewing the script and directions. Check measured duration, pronunciation and packaged assets. Keep the offline playback contract and manual fallback. Ask for a physical check only when an unresolved question about access, routing, audibility or behaviour affects the next useful use and cannot be settled at the desk.</w:t>
      </w:r>
    </w:p>
    <w:p>
      <w:r>
        <w:t>Gather feedback while it is fresh, without making a pleasant walk into an exam. Preserve original recordings, labels, ratings and uncertain transcription. An owner clarification can correct the interpreted subject without rewriting the original record. Do not infer complete speech recovery from an intact audio file, or automatic arrivals from completed stops.</w:t>
      </w:r>
    </w:p>
    <w:p>
      <w:r>
        <w:t>Carry lessons forward into the next tour. Revisit Finchley content only for an assigned change or a material practical defect. The next area and brief will be selected separately; preparing this process does not choose a new destination or start M4 implementation.</w:t>
      </w:r>
    </w:p>
    <w:p>
      <w:pPr>
        <w:pStyle w:val="Heading1"/>
      </w:pPr>
      <w:r>
        <w:t>Decisions that can wait</w:t>
      </w:r>
    </w:p>
    <w:p>
      <w:r>
        <w:t>Use a reasoned time allowance for broader thought without requiring agreement on a universal percentage. Choose role concurrency to match the task and available slots. Keep present research in files until concrete reuse justifies the planned database. For the next tour, the owner need only supply or accept an area and practical brief; routine research and writing choices belong to the team.</w:t>
      </w:r>
    </w:p>
    <w:p>
      <w:r>
        <w:t>Sidi has requested that work stop after this synthesis, before an extra-high second pass. No technical follow-up, M2 closure decision or new area is undertaken here. The Word review copy invites corrections to the proposed workflow without re-opening already stated preferences.</w:t>
      </w:r>
    </w:p>
    <w:sectPr w:rsidR="00FC693F" w:rsidRPr="0006063C" w:rsidSect="00034616">
      <w:footerReference w:type="default" r:id="rId13"/>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widowControl/>
      <w:spacing w:after="140" w:line="259"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OUR-DESIGN-GUIDANCE.md" TargetMode="External"/><Relationship Id="rId10" Type="http://schemas.openxmlformats.org/officeDocument/2006/relationships/hyperlink" Target="authoring/AGENT-BRIEFS.md" TargetMode="External"/><Relationship Id="rId11" Type="http://schemas.openxmlformats.org/officeDocument/2006/relationships/hyperlink" Target="authoring/SOURCE-MAP.md" TargetMode="External"/><Relationship Id="rId12" Type="http://schemas.openxmlformats.org/officeDocument/2006/relationships/hyperlink" Target="AREA-TOUR-SURVEY.md"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tour authoring playbook</dc:title>
  <dc:subject>Synthesis for editorial review</dc:subject>
  <dc:creator>Tour app</dc:creator>
  <cp:keywords>M2, authoring, synthesis</cp:keywords>
  <dc:description>generated by python-docx</dc:description>
  <cp:lastModifiedBy/>
  <cp:revision>1</cp:revision>
  <dcterms:created xsi:type="dcterms:W3CDTF">2013-12-23T23:15:00Z</dcterms:created>
  <dcterms:modified xsi:type="dcterms:W3CDTF">2013-12-23T23:15:00Z</dcterms:modified>
  <cp:category/>
</cp:coreProperties>
</file>