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Making a walk worth taking</w:t>
      </w:r>
    </w:p>
    <w:p>
      <w:pPr>
        <w:pStyle w:val="Subtitle"/>
      </w:pPr>
      <w:r>
        <w:t>A second pass on walking tours and storytelling</w:t>
      </w:r>
    </w:p>
    <w:p>
      <w:r>
        <w:t>18 September 2026 · Discussion paper for Sidi · Proposed craft choices, not new acceptance rules</w:t>
      </w:r>
    </w:p>
    <w:p>
      <w:r/>
      <w:r>
        <w:rPr>
          <w:b/>
        </w:rPr>
        <w:t>My recommendation:</w:t>
      </w:r>
      <w:r>
        <w:t xml:space="preserve"> make the next two tours by hand with a stronger discovery and editing process. Use one to explore a developing question and the other to build a portrait of a place. Both should offer good stories, informed colour, present-day relevance and enjoyable walking. The useful contrast is how the whole experience develops, not whether one gets better research or writing.</w:t>
      </w:r>
    </w:p>
    <w:p>
      <w:r>
        <w:t>The first Finchley walks already produced enjoyment and discovery. The next step is to understand how to reproduce that success while addressing the weak explanations, generic scenes and missed connections you identified. More rules alone will not do it. We need better raw material, sharper choices and examples we can react to.</w:t>
      </w:r>
    </w:p>
    <w:p>
      <w:r>
        <w:t xml:space="preserve">This paper develops the </w:t>
      </w:r>
      <w:hyperlink r:id="rId9">
        <w:r>
          <w:rPr>
            <w:color w:val="225477"/>
          </w:rPr>
          <w:t>first playbook</w:t>
        </w:r>
      </w:hyperlink>
      <w:r>
        <w:t xml:space="preserve">; it does not replace your </w:t>
      </w:r>
      <w:hyperlink r:id="rId10">
        <w:r>
          <w:rPr>
            <w:color w:val="225477"/>
          </w:rPr>
          <w:t>settled preferences</w:t>
        </w:r>
      </w:hyperlink>
      <w:r>
        <w:t xml:space="preserve">. The numbered research references link to original sources. The companion </w:t>
      </w:r>
      <w:hyperlink r:id="rId11">
        <w:r>
          <w:rPr>
            <w:color w:val="225477"/>
          </w:rPr>
          <w:t>research notes</w:t>
        </w:r>
      </w:hyperlink>
      <w:r>
        <w:t xml:space="preserve"> record what was read and the limits of each source. Your comments and both walks remain traceable through the </w:t>
      </w:r>
      <w:hyperlink r:id="rId12">
        <w:r>
          <w:rPr>
            <w:color w:val="225477"/>
          </w:rPr>
          <w:t>existing source map</w:t>
        </w:r>
      </w:hyperlink>
      <w:r>
        <w:t>.</w:t>
      </w:r>
    </w:p>
    <w:p>
      <w:pPr>
        <w:pStyle w:val="Heading1"/>
      </w:pPr>
      <w:r>
        <w:t>1 What the first pass still misses</w:t>
      </w:r>
    </w:p>
    <w:p>
      <w:r>
        <w:t>It explains who should do the work, but says less about how to recognise a story worth doing. A researcher could deliver accurate facts, a writer produce fluent prose and a reviewer approve every claim, while the resulting stop remained forgettable.</w:t>
      </w:r>
    </w:p>
    <w:p>
      <w:r>
        <w:t>I would strengthen four things:</w:t>
      </w:r>
    </w:p>
    <w:p>
      <w:pPr>
        <w:pStyle w:val="ListBullet"/>
      </w:pPr>
      <w:r/>
      <w:r>
        <w:rPr>
          <w:b/>
        </w:rPr>
        <w:t>Discovery before drafting.</w:t>
      </w:r>
      <w:r>
        <w:t xml:space="preserve"> Ask competing questions of the material. Research should be allowed to change the proposed story, not merely furnish citations for it.</w:t>
      </w:r>
    </w:p>
    <w:p>
      <w:pPr>
        <w:pStyle w:val="ListBullet"/>
      </w:pPr>
      <w:r/>
      <w:r>
        <w:rPr>
          <w:b/>
        </w:rPr>
        <w:t>Specificity before ornament.</w:t>
      </w:r>
      <w:r>
        <w:t xml:space="preserve"> Find the detail that changes our understanding. Extra adjectives cannot rescue a scene that could take place anywhere.</w:t>
      </w:r>
    </w:p>
    <w:p>
      <w:pPr>
        <w:pStyle w:val="ListBullet"/>
      </w:pPr>
      <w:r/>
      <w:r>
        <w:rPr>
          <w:b/>
        </w:rPr>
        <w:t>The experience between stops.</w:t>
      </w:r>
      <w:r>
        <w:t xml:space="preserve"> Approaches, transitions, contrasts, quiet and the end of the walk deserve editorial attention alongside the individual scripts.</w:t>
      </w:r>
    </w:p>
    <w:p>
      <w:pPr>
        <w:pStyle w:val="ListBullet"/>
      </w:pPr>
      <w:r/>
      <w:r>
        <w:rPr>
          <w:b/>
        </w:rPr>
        <w:t>Positive ambition in review.</w:t>
      </w:r>
      <w:r>
        <w:t xml:space="preserve"> Keep checking accuracy and clarity, but also name the moment worth keeping: a discovery, image, joke, connection or experience of the place. Editing solely to remove defects can erase personality.</w:t>
      </w:r>
    </w:p>
    <w:p>
      <w:r>
        <w:t xml:space="preserve">The standard I would use is: </w:t>
      </w:r>
      <w:r>
        <w:rPr>
          <w:b/>
        </w:rPr>
        <w:t>a pleasant walk with a companion who helps you notice, understand and picture things you would otherwise miss.</w:t>
      </w:r>
      <w:r>
        <w:t xml:space="preserve"> Some moments can be intellectually substantial; the experience should remain easy to inhabit.</w:t>
      </w:r>
    </w:p>
    <w:p>
      <w:pPr>
        <w:pStyle w:val="Heading1"/>
      </w:pPr>
      <w:r>
        <w:t>2 An interesting subject is a beginning</w:t>
      </w:r>
    </w:p>
    <w:p>
      <w:r>
        <w:t>A subject is “the cinema”. An angle is “what going out offered this neighbourhood”. A story might follow the choice to create a new cultural venue after the old cinema disappeared. The tour experience adds the current building, the route through the neighbourhood and what the visitor has already encountered. These are different editorial decisions.</w:t>
      </w:r>
    </w:p>
    <w:p>
      <w:r>
        <w:t>Age, fame and an unusual name can attract attention, but none guarantees a rewarding account. I would look for a reason to keep listening: something to discover, understand, anticipate, recognise or simply enjoy observing.</w:t>
      </w:r>
    </w:p>
    <w:p>
      <w:r>
        <w:t>Paul Silvia's 2005 experiments link interest to novelty/complexity and a person's sense that they can understand what they encounter. The study also distinguishes interest from enjoyment. Its stimuli included art, poetry and polygons, not outdoor audio tours; our application is a hypothesis: supply enough context to make the unfamiliar approachable, rather than confusing the listener and calling that intrigue. [1]</w:t>
      </w:r>
    </w:p>
    <w:p>
      <w:pPr>
        <w:pStyle w:val="Heading2"/>
      </w:pPr>
      <w:r>
        <w:t>Several ways a story can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72"/>
        <w:gridCol w:w="3960"/>
      </w:tblGrid>
      <w:tr>
        <w:trPr>
          <w:cantSplit/>
          <w:tblHeader/>
        </w:trPr>
        <w:tc>
          <w:tcPr>
            <w:tcW w:type="dxa" w:w="2160"/>
            <w:vAlign w:val="center"/>
            <w:tcMar>
              <w:top w:w="90" w:type="dxa"/>
              <w:bottom w:w="90" w:type="dxa"/>
              <w:left w:w="90" w:type="dxa"/>
              <w:right w:w="90" w:type="dxa"/>
            </w:tcMar>
            <w:shd w:fill="F2F2F2"/>
          </w:tcPr>
          <w:p>
            <w:pPr>
              <w:keepNext/>
              <w:spacing w:after="40" w:line="245" w:lineRule="auto"/>
            </w:pPr>
            <w:r>
              <w:rPr>
                <w:b/>
                <w:sz w:val="20"/>
              </w:rPr>
              <w:t>Form</w:t>
            </w:r>
          </w:p>
        </w:tc>
        <w:tc>
          <w:tcPr>
            <w:tcW w:type="dxa" w:w="3672"/>
            <w:vAlign w:val="center"/>
            <w:tcMar>
              <w:top w:w="90" w:type="dxa"/>
              <w:bottom w:w="90" w:type="dxa"/>
              <w:left w:w="90" w:type="dxa"/>
              <w:right w:w="90" w:type="dxa"/>
            </w:tcMar>
            <w:shd w:fill="F2F2F2"/>
          </w:tcPr>
          <w:p>
            <w:pPr>
              <w:keepNext/>
              <w:spacing w:after="40" w:line="245" w:lineRule="auto"/>
            </w:pPr>
            <w:r>
              <w:rPr>
                <w:b/>
                <w:sz w:val="20"/>
              </w:rPr>
              <w:t>What carries interest</w:t>
            </w:r>
          </w:p>
        </w:tc>
        <w:tc>
          <w:tcPr>
            <w:tcW w:type="dxa" w:w="3960"/>
            <w:vAlign w:val="center"/>
            <w:tcMar>
              <w:top w:w="90" w:type="dxa"/>
              <w:bottom w:w="90" w:type="dxa"/>
              <w:left w:w="90" w:type="dxa"/>
              <w:right w:w="90" w:type="dxa"/>
            </w:tcMar>
            <w:shd w:fill="F2F2F2"/>
          </w:tcPr>
          <w:p>
            <w:pPr>
              <w:keepNext/>
              <w:spacing w:after="40" w:line="245" w:lineRule="auto"/>
            </w:pPr>
            <w:r>
              <w:rPr>
                <w:b/>
                <w:sz w:val="20"/>
              </w:rPr>
              <w:t>What can go wrong</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Puzzle or explanation</w:t>
            </w:r>
          </w:p>
        </w:tc>
        <w:tc>
          <w:tcPr>
            <w:tcW w:type="dxa" w:w="3672"/>
            <w:vAlign w:val="center"/>
            <w:tcMar>
              <w:top w:w="90" w:type="dxa"/>
              <w:bottom w:w="90" w:type="dxa"/>
              <w:left w:w="90" w:type="dxa"/>
              <w:right w:w="90" w:type="dxa"/>
            </w:tcMar>
          </w:tcPr>
          <w:p>
            <w:pPr>
              <w:keepNext/>
              <w:spacing w:after="40" w:line="245" w:lineRule="auto"/>
            </w:pPr>
            <w:r>
              <w:rPr>
                <w:b w:val="0"/>
                <w:sz w:val="20"/>
              </w:rPr>
              <w:t>An odd feature becomes intelligible through its cause or purpose</w:t>
            </w:r>
          </w:p>
        </w:tc>
        <w:tc>
          <w:tcPr>
            <w:tcW w:type="dxa" w:w="3960"/>
            <w:vAlign w:val="center"/>
            <w:tcMar>
              <w:top w:w="90" w:type="dxa"/>
              <w:bottom w:w="90" w:type="dxa"/>
              <w:left w:w="90" w:type="dxa"/>
              <w:right w:w="90" w:type="dxa"/>
            </w:tcMar>
          </w:tcPr>
          <w:p>
            <w:pPr>
              <w:keepNext/>
              <w:spacing w:after="40" w:line="245" w:lineRule="auto"/>
            </w:pPr>
            <w:r>
              <w:rPr>
                <w:b w:val="0"/>
                <w:sz w:val="20"/>
              </w:rPr>
              <w:t>A trivial answer is stretched into fake suspense</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Choice and consequence</w:t>
            </w:r>
          </w:p>
        </w:tc>
        <w:tc>
          <w:tcPr>
            <w:tcW w:type="dxa" w:w="3672"/>
            <w:vAlign w:val="center"/>
            <w:tcMar>
              <w:top w:w="90" w:type="dxa"/>
              <w:bottom w:w="90" w:type="dxa"/>
              <w:left w:w="90" w:type="dxa"/>
              <w:right w:w="90" w:type="dxa"/>
            </w:tcMar>
          </w:tcPr>
          <w:p>
            <w:pPr>
              <w:keepNext/>
              <w:spacing w:after="40" w:line="245" w:lineRule="auto"/>
            </w:pPr>
            <w:r>
              <w:rPr>
                <w:b w:val="0"/>
                <w:sz w:val="20"/>
              </w:rPr>
              <w:t>People wanted something; constraints and decisions shaped what followed</w:t>
            </w:r>
          </w:p>
        </w:tc>
        <w:tc>
          <w:tcPr>
            <w:tcW w:type="dxa" w:w="3960"/>
            <w:vAlign w:val="center"/>
            <w:tcMar>
              <w:top w:w="90" w:type="dxa"/>
              <w:bottom w:w="90" w:type="dxa"/>
              <w:left w:w="90" w:type="dxa"/>
              <w:right w:w="90" w:type="dxa"/>
            </w:tcMar>
          </w:tcPr>
          <w:p>
            <w:pPr>
              <w:keepNext/>
              <w:spacing w:after="40" w:line="245" w:lineRule="auto"/>
            </w:pPr>
            <w:r>
              <w:rPr>
                <w:b w:val="0"/>
                <w:sz w:val="20"/>
              </w:rPr>
              <w:t>Invented motives, simplified villains or hindsight certainty</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Transformation</w:t>
            </w:r>
          </w:p>
        </w:tc>
        <w:tc>
          <w:tcPr>
            <w:tcW w:type="dxa" w:w="3672"/>
            <w:vAlign w:val="center"/>
            <w:tcMar>
              <w:top w:w="90" w:type="dxa"/>
              <w:bottom w:w="90" w:type="dxa"/>
              <w:left w:w="90" w:type="dxa"/>
              <w:right w:w="90" w:type="dxa"/>
            </w:tcMar>
          </w:tcPr>
          <w:p>
            <w:pPr>
              <w:keepNext/>
              <w:spacing w:after="40" w:line="245" w:lineRule="auto"/>
            </w:pPr>
            <w:r>
              <w:rPr>
                <w:b w:val="0"/>
                <w:sz w:val="20"/>
              </w:rPr>
              <w:t>A recognisable place changes; the listener can grasp what was lost, gained or retained</w:t>
            </w:r>
          </w:p>
        </w:tc>
        <w:tc>
          <w:tcPr>
            <w:tcW w:type="dxa" w:w="3960"/>
            <w:vAlign w:val="center"/>
            <w:tcMar>
              <w:top w:w="90" w:type="dxa"/>
              <w:bottom w:w="90" w:type="dxa"/>
              <w:left w:w="90" w:type="dxa"/>
              <w:right w:w="90" w:type="dxa"/>
            </w:tcMar>
          </w:tcPr>
          <w:p>
            <w:pPr>
              <w:keepNext/>
              <w:spacing w:after="40" w:line="245" w:lineRule="auto"/>
            </w:pPr>
            <w:r>
              <w:rPr>
                <w:b w:val="0"/>
                <w:sz w:val="20"/>
              </w:rPr>
              <w:t>A sequence of dates with no explanation of the changes</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Portrait or scene</w:t>
            </w:r>
          </w:p>
        </w:tc>
        <w:tc>
          <w:tcPr>
            <w:tcW w:type="dxa" w:w="3672"/>
            <w:vAlign w:val="center"/>
            <w:tcMar>
              <w:top w:w="90" w:type="dxa"/>
              <w:bottom w:w="90" w:type="dxa"/>
              <w:left w:w="90" w:type="dxa"/>
              <w:right w:w="90" w:type="dxa"/>
            </w:tcMar>
          </w:tcPr>
          <w:p>
            <w:pPr>
              <w:keepNext/>
              <w:spacing w:after="40" w:line="245" w:lineRule="auto"/>
            </w:pPr>
            <w:r>
              <w:rPr>
                <w:b w:val="0"/>
                <w:sz w:val="20"/>
              </w:rPr>
              <w:t>Specific habits, relationships and details reveal a way of life</w:t>
            </w:r>
          </w:p>
        </w:tc>
        <w:tc>
          <w:tcPr>
            <w:tcW w:type="dxa" w:w="3960"/>
            <w:vAlign w:val="center"/>
            <w:tcMar>
              <w:top w:w="90" w:type="dxa"/>
              <w:bottom w:w="90" w:type="dxa"/>
              <w:left w:w="90" w:type="dxa"/>
              <w:right w:w="90" w:type="dxa"/>
            </w:tcMar>
          </w:tcPr>
          <w:p>
            <w:pPr>
              <w:keepNext/>
              <w:spacing w:after="40" w:line="245" w:lineRule="auto"/>
            </w:pPr>
            <w:r>
              <w:rPr>
                <w:b w:val="0"/>
                <w:sz w:val="20"/>
              </w:rPr>
              <w:t>Generic atmosphere, stereotypes or a biography detached from this place</w:t>
            </w:r>
          </w:p>
        </w:tc>
      </w:tr>
      <w:tr>
        <w:trPr>
          <w:cantSplit/>
        </w:trPr>
        <w:tc>
          <w:tcPr>
            <w:tcW w:type="dxa" w:w="2160"/>
            <w:vAlign w:val="center"/>
            <w:tcMar>
              <w:top w:w="90" w:type="dxa"/>
              <w:bottom w:w="90" w:type="dxa"/>
              <w:left w:w="90" w:type="dxa"/>
              <w:right w:w="90" w:type="dxa"/>
            </w:tcMar>
          </w:tcPr>
          <w:p>
            <w:pPr>
              <w:keepNext w:val="0"/>
              <w:spacing w:after="40" w:line="245" w:lineRule="auto"/>
            </w:pPr>
            <w:r>
              <w:rPr>
                <w:b w:val="0"/>
                <w:sz w:val="20"/>
              </w:rPr>
              <w:t>Connection or pattern</w:t>
            </w:r>
          </w:p>
        </w:tc>
        <w:tc>
          <w:tcPr>
            <w:tcW w:type="dxa" w:w="3672"/>
            <w:vAlign w:val="center"/>
            <w:tcMar>
              <w:top w:w="90" w:type="dxa"/>
              <w:bottom w:w="90" w:type="dxa"/>
              <w:left w:w="90" w:type="dxa"/>
              <w:right w:w="90" w:type="dxa"/>
            </w:tcMar>
          </w:tcPr>
          <w:p>
            <w:pPr>
              <w:keepNext w:val="0"/>
              <w:spacing w:after="40" w:line="245" w:lineRule="auto"/>
            </w:pPr>
            <w:r>
              <w:rPr>
                <w:b w:val="0"/>
                <w:sz w:val="20"/>
              </w:rPr>
              <w:t>Several particulars reveal a relationship the listener had not noticed</w:t>
            </w:r>
          </w:p>
        </w:tc>
        <w:tc>
          <w:tcPr>
            <w:tcW w:type="dxa" w:w="3960"/>
            <w:vAlign w:val="center"/>
            <w:tcMar>
              <w:top w:w="90" w:type="dxa"/>
              <w:bottom w:w="90" w:type="dxa"/>
              <w:left w:w="90" w:type="dxa"/>
              <w:right w:w="90" w:type="dxa"/>
            </w:tcMar>
          </w:tcPr>
          <w:p>
            <w:pPr>
              <w:keepNext w:val="0"/>
              <w:spacing w:after="40" w:line="245" w:lineRule="auto"/>
            </w:pPr>
            <w:r>
              <w:rPr>
                <w:b w:val="0"/>
                <w:sz w:val="20"/>
              </w:rPr>
              <w:t>A grand thesis imposed on unrelated sites</w:t>
            </w:r>
          </w:p>
        </w:tc>
      </w:tr>
    </w:tbl>
    <w:p>
      <w:pPr>
        <w:spacing w:after="0"/>
      </w:pPr>
    </w:p>
    <w:p>
      <w:r>
        <w:t>These are tools, not bins into which every stop must fit. A short amusing aside can remain an aside. A beautiful or intriguing object can deserve attention without a conflict, a hero or a life lesson.</w:t>
      </w:r>
    </w:p>
    <w:p>
      <w:r>
        <w:t xml:space="preserve">The Moth's advice makes desire, dilemma and consequences central to its true first-person stories. That is useful when a historical episode contains documented human stakes; its performance rules are not a universal definition of storytelling. [2] RaMell Ross describes </w:t>
      </w:r>
      <w:r>
        <w:rPr>
          <w:i/>
        </w:rPr>
        <w:t>Hale County This Morning, This Evening</w:t>
      </w:r>
      <w:r>
        <w:t xml:space="preserve"> as an experience of a place, with meaning emerging through attention and the relationship between moments. That offers a different possibility. His method grew from sustained life within the community; a desk-researched tour cannot claim the same intimacy. [3]</w:t>
      </w:r>
    </w:p>
    <w:p>
      <w:r/>
      <w:r>
        <w:rPr>
          <w:b/>
        </w:rPr>
        <w:t>Proposed selection test:</w:t>
      </w:r>
      <w:r>
        <w:t xml:space="preserve"> tell the lead, in ordinary language, what attracted you to this candidate. Then show the evidence or detail that makes that promise credible. If the pitch depends on what we hope to find, it remains a research lead. If nothing develops, shorten it, combine it with another subject or leave it out.</w:t>
      </w:r>
    </w:p>
    <w:p>
      <w:pPr>
        <w:pStyle w:val="Heading1"/>
      </w:pPr>
      <w:r>
        <w:t>3 Research should discover the story</w:t>
      </w:r>
    </w:p>
    <w:p>
      <w:r>
        <w:t>Your survey-first rule is a strong starting point. Existing tours reveal what knowledgeable guides have found worthwhile and how they connect it. They also reflect what is already easy to market and document. After the survey, look deliberately at ordinary local life, overlooked relationships and the questions that published routes leave unanswered. The catalogue should widen our options before we choose.</w:t>
      </w:r>
    </w:p>
    <w:p>
      <w:r>
        <w:t>For each promising candidate, start with a provisional explanation and a serious alternative. At a shared garden, is the interesting account about an individual developer's offer, a planning arrangement, residents' activity, or something else? We cannot select the community-cooperation version because it sounds generous. Evidence about the actual arrangement must decide.</w:t>
      </w:r>
    </w:p>
    <w:p>
      <w:pPr>
        <w:pStyle w:val="Heading2"/>
      </w:pPr>
      <w:r>
        <w:t>Follow the question to the right material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72"/>
        <w:gridCol w:w="3960"/>
      </w:tblGrid>
      <w:tr>
        <w:trPr>
          <w:cantSplit/>
          <w:tblHeader/>
        </w:trPr>
        <w:tc>
          <w:tcPr>
            <w:tcW w:type="dxa" w:w="2160"/>
            <w:vAlign w:val="center"/>
            <w:tcMar>
              <w:top w:w="90" w:type="dxa"/>
              <w:bottom w:w="90" w:type="dxa"/>
              <w:left w:w="90" w:type="dxa"/>
              <w:right w:w="90" w:type="dxa"/>
            </w:tcMar>
            <w:shd w:fill="F2F2F2"/>
          </w:tcPr>
          <w:p>
            <w:pPr>
              <w:keepNext/>
              <w:spacing w:after="40" w:line="245" w:lineRule="auto"/>
            </w:pPr>
            <w:r>
              <w:rPr>
                <w:b/>
                <w:sz w:val="20"/>
              </w:rPr>
              <w:t>What we need to know</w:t>
            </w:r>
          </w:p>
        </w:tc>
        <w:tc>
          <w:tcPr>
            <w:tcW w:type="dxa" w:w="3672"/>
            <w:vAlign w:val="center"/>
            <w:tcMar>
              <w:top w:w="90" w:type="dxa"/>
              <w:bottom w:w="90" w:type="dxa"/>
              <w:left w:w="90" w:type="dxa"/>
              <w:right w:w="90" w:type="dxa"/>
            </w:tcMar>
            <w:shd w:fill="F2F2F2"/>
          </w:tcPr>
          <w:p>
            <w:pPr>
              <w:keepNext/>
              <w:spacing w:after="40" w:line="245" w:lineRule="auto"/>
            </w:pPr>
            <w:r>
              <w:rPr>
                <w:b/>
                <w:sz w:val="20"/>
              </w:rPr>
              <w:t>Useful starting material</w:t>
            </w:r>
          </w:p>
        </w:tc>
        <w:tc>
          <w:tcPr>
            <w:tcW w:type="dxa" w:w="3960"/>
            <w:vAlign w:val="center"/>
            <w:tcMar>
              <w:top w:w="90" w:type="dxa"/>
              <w:bottom w:w="90" w:type="dxa"/>
              <w:left w:w="90" w:type="dxa"/>
              <w:right w:w="90" w:type="dxa"/>
            </w:tcMar>
            <w:shd w:fill="F2F2F2"/>
          </w:tcPr>
          <w:p>
            <w:pPr>
              <w:keepNext/>
              <w:spacing w:after="40" w:line="245" w:lineRule="auto"/>
            </w:pPr>
            <w:r>
              <w:rPr>
                <w:b/>
                <w:sz w:val="20"/>
              </w:rPr>
              <w:t>What it cannot establish by itself</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Who acted, owned or agreed?</w:t>
            </w:r>
          </w:p>
        </w:tc>
        <w:tc>
          <w:tcPr>
            <w:tcW w:type="dxa" w:w="3672"/>
            <w:vAlign w:val="center"/>
            <w:tcMar>
              <w:top w:w="90" w:type="dxa"/>
              <w:bottom w:w="90" w:type="dxa"/>
              <w:left w:w="90" w:type="dxa"/>
              <w:right w:w="90" w:type="dxa"/>
            </w:tcMar>
          </w:tcPr>
          <w:p>
            <w:pPr>
              <w:keepNext/>
              <w:spacing w:after="40" w:line="245" w:lineRule="auto"/>
            </w:pPr>
            <w:r>
              <w:rPr>
                <w:b w:val="0"/>
                <w:sz w:val="20"/>
              </w:rPr>
              <w:t>Leases, minutes, planning history, institutional records, scholarly local history</w:t>
            </w:r>
          </w:p>
        </w:tc>
        <w:tc>
          <w:tcPr>
            <w:tcW w:type="dxa" w:w="3960"/>
            <w:vAlign w:val="center"/>
            <w:tcMar>
              <w:top w:w="90" w:type="dxa"/>
              <w:bottom w:w="90" w:type="dxa"/>
              <w:left w:w="90" w:type="dxa"/>
              <w:right w:w="90" w:type="dxa"/>
            </w:tcMar>
          </w:tcPr>
          <w:p>
            <w:pPr>
              <w:keepNext/>
              <w:spacing w:after="40" w:line="245" w:lineRule="auto"/>
            </w:pPr>
            <w:r>
              <w:rPr>
                <w:b w:val="0"/>
                <w:sz w:val="20"/>
              </w:rPr>
              <w:t>Today's ownership from an old lease; motive from a restriction</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What was life or an event like?</w:t>
            </w:r>
          </w:p>
        </w:tc>
        <w:tc>
          <w:tcPr>
            <w:tcW w:type="dxa" w:w="3672"/>
            <w:vAlign w:val="center"/>
            <w:tcMar>
              <w:top w:w="90" w:type="dxa"/>
              <w:bottom w:w="90" w:type="dxa"/>
              <w:left w:w="90" w:type="dxa"/>
              <w:right w:w="90" w:type="dxa"/>
            </w:tcMar>
          </w:tcPr>
          <w:p>
            <w:pPr>
              <w:keepNext/>
              <w:spacing w:after="40" w:line="245" w:lineRule="auto"/>
            </w:pPr>
            <w:r>
              <w:rPr>
                <w:b w:val="0"/>
                <w:sz w:val="20"/>
              </w:rPr>
              <w:t>Dated photographs, programmes, adverts, contemporary accounts, relevant social history</w:t>
            </w:r>
          </w:p>
        </w:tc>
        <w:tc>
          <w:tcPr>
            <w:tcW w:type="dxa" w:w="3960"/>
            <w:vAlign w:val="center"/>
            <w:tcMar>
              <w:top w:w="90" w:type="dxa"/>
              <w:bottom w:w="90" w:type="dxa"/>
              <w:left w:w="90" w:type="dxa"/>
              <w:right w:w="90" w:type="dxa"/>
            </w:tcMar>
          </w:tcPr>
          <w:p>
            <w:pPr>
              <w:keepNext/>
              <w:spacing w:after="40" w:line="245" w:lineRule="auto"/>
            </w:pPr>
            <w:r>
              <w:rPr>
                <w:b w:val="0"/>
                <w:sz w:val="20"/>
              </w:rPr>
              <w:t>That an advertised event happened; that a typical detail occurred that night</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Why did people want it?</w:t>
            </w:r>
          </w:p>
        </w:tc>
        <w:tc>
          <w:tcPr>
            <w:tcW w:type="dxa" w:w="3672"/>
            <w:vAlign w:val="center"/>
            <w:tcMar>
              <w:top w:w="90" w:type="dxa"/>
              <w:bottom w:w="90" w:type="dxa"/>
              <w:left w:w="90" w:type="dxa"/>
              <w:right w:w="90" w:type="dxa"/>
            </w:tcMar>
          </w:tcPr>
          <w:p>
            <w:pPr>
              <w:keepNext/>
              <w:spacing w:after="40" w:line="245" w:lineRule="auto"/>
            </w:pPr>
            <w:r>
              <w:rPr>
                <w:b w:val="0"/>
                <w:sz w:val="20"/>
              </w:rPr>
              <w:t>Petitions, correspondence, consultation responses, interviews already published</w:t>
            </w:r>
          </w:p>
        </w:tc>
        <w:tc>
          <w:tcPr>
            <w:tcW w:type="dxa" w:w="3960"/>
            <w:vAlign w:val="center"/>
            <w:tcMar>
              <w:top w:w="90" w:type="dxa"/>
              <w:bottom w:w="90" w:type="dxa"/>
              <w:left w:w="90" w:type="dxa"/>
              <w:right w:w="90" w:type="dxa"/>
            </w:tcMar>
          </w:tcPr>
          <w:p>
            <w:pPr>
              <w:keepNext/>
              <w:spacing w:after="40" w:line="245" w:lineRule="auto"/>
            </w:pPr>
            <w:r>
              <w:rPr>
                <w:b w:val="0"/>
                <w:sz w:val="20"/>
              </w:rPr>
              <w:t>A whole community's view from one campaign statement</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What is happening now?</w:t>
            </w:r>
          </w:p>
        </w:tc>
        <w:tc>
          <w:tcPr>
            <w:tcW w:type="dxa" w:w="3672"/>
            <w:vAlign w:val="center"/>
            <w:tcMar>
              <w:top w:w="90" w:type="dxa"/>
              <w:bottom w:w="90" w:type="dxa"/>
              <w:left w:w="90" w:type="dxa"/>
              <w:right w:w="90" w:type="dxa"/>
            </w:tcMar>
          </w:tcPr>
          <w:p>
            <w:pPr>
              <w:keepNext/>
              <w:spacing w:after="40" w:line="245" w:lineRule="auto"/>
            </w:pPr>
            <w:r>
              <w:rPr>
                <w:b w:val="0"/>
                <w:sz w:val="20"/>
              </w:rPr>
              <w:t>Current operator information, local reporting, recent plans and dated observations</w:t>
            </w:r>
          </w:p>
        </w:tc>
        <w:tc>
          <w:tcPr>
            <w:tcW w:type="dxa" w:w="3960"/>
            <w:vAlign w:val="center"/>
            <w:tcMar>
              <w:top w:w="90" w:type="dxa"/>
              <w:bottom w:w="90" w:type="dxa"/>
              <w:left w:w="90" w:type="dxa"/>
              <w:right w:w="90" w:type="dxa"/>
            </w:tcMar>
          </w:tcPr>
          <w:p>
            <w:pPr>
              <w:keepNext/>
              <w:spacing w:after="40" w:line="245" w:lineRule="auto"/>
            </w:pPr>
            <w:r>
              <w:rPr>
                <w:b w:val="0"/>
                <w:sz w:val="20"/>
              </w:rPr>
              <w:t>The cause of decline from closed shutters or a few customer reviews</w:t>
            </w:r>
          </w:p>
        </w:tc>
      </w:tr>
      <w:tr>
        <w:trPr>
          <w:cantSplit/>
        </w:trPr>
        <w:tc>
          <w:tcPr>
            <w:tcW w:type="dxa" w:w="2160"/>
            <w:vAlign w:val="center"/>
            <w:tcMar>
              <w:top w:w="90" w:type="dxa"/>
              <w:bottom w:w="90" w:type="dxa"/>
              <w:left w:w="90" w:type="dxa"/>
              <w:right w:w="90" w:type="dxa"/>
            </w:tcMar>
          </w:tcPr>
          <w:p>
            <w:pPr>
              <w:keepNext w:val="0"/>
              <w:spacing w:after="40" w:line="245" w:lineRule="auto"/>
            </w:pPr>
            <w:r>
              <w:rPr>
                <w:b w:val="0"/>
                <w:sz w:val="20"/>
              </w:rPr>
              <w:t>What will the walker encounter?</w:t>
            </w:r>
          </w:p>
        </w:tc>
        <w:tc>
          <w:tcPr>
            <w:tcW w:type="dxa" w:w="3672"/>
            <w:vAlign w:val="center"/>
            <w:tcMar>
              <w:top w:w="90" w:type="dxa"/>
              <w:bottom w:w="90" w:type="dxa"/>
              <w:left w:w="90" w:type="dxa"/>
              <w:right w:w="90" w:type="dxa"/>
            </w:tcMar>
          </w:tcPr>
          <w:p>
            <w:pPr>
              <w:keepNext w:val="0"/>
              <w:spacing w:after="40" w:line="245" w:lineRule="auto"/>
            </w:pPr>
            <w:r>
              <w:rPr>
                <w:b w:val="0"/>
                <w:sz w:val="20"/>
              </w:rPr>
              <w:t>Route geometry, approach imagery, access information and relevant field reports</w:t>
            </w:r>
          </w:p>
        </w:tc>
        <w:tc>
          <w:tcPr>
            <w:tcW w:type="dxa" w:w="3960"/>
            <w:vAlign w:val="center"/>
            <w:tcMar>
              <w:top w:w="90" w:type="dxa"/>
              <w:bottom w:w="90" w:type="dxa"/>
              <w:left w:w="90" w:type="dxa"/>
              <w:right w:w="90" w:type="dxa"/>
            </w:tcMar>
          </w:tcPr>
          <w:p>
            <w:pPr>
              <w:keepNext w:val="0"/>
              <w:spacing w:after="40" w:line="245" w:lineRule="auto"/>
            </w:pPr>
            <w:r>
              <w:rPr>
                <w:b w:val="0"/>
                <w:sz w:val="20"/>
              </w:rPr>
              <w:t>Current pavement access from a landmark pin or old photograph</w:t>
            </w:r>
          </w:p>
        </w:tc>
      </w:tr>
    </w:tbl>
    <w:p>
      <w:pPr>
        <w:spacing w:after="0"/>
      </w:pPr>
    </w:p>
    <w:p>
      <w:r>
        <w:t>For each potentially rich story, retain the decisive detail, the relationships that explain it, what changed, the present connection and the unanswered question. Preserve something that complicates the attractive version, where the evidence supplies it. Research should make the account more particular and more honest, not necessarily more celebratory.</w:t>
      </w:r>
    </w:p>
    <w:p>
      <w:r>
        <w:t>An archive has its own bias: property transactions may leave better records than everyday use; a successful institution may preserve its own version of a campaign. Seek other perspectives when they could materially change the central account. This is a targeted question, not a requirement to collect an arbitrary number of sources.</w:t>
      </w:r>
    </w:p>
    <w:p>
      <w:r/>
      <w:r>
        <w:rPr>
          <w:b/>
        </w:rPr>
        <w:t>Stopping rule:</w:t>
      </w:r>
      <w:r>
        <w:t xml:space="preserve"> continue research while a plausible next source could change the central explanation, selection or scene. Once the account is supported and the remaining unknowns can be omitted or stated honestly, draft it. A narrow unknown about an incidental detail need not turn a pleasant tour into a research project without end.</w:t>
      </w:r>
    </w:p>
    <w:p>
      <w:pPr>
        <w:pStyle w:val="Heading1"/>
      </w:pPr>
      <w:r>
        <w:t>4 Write towards discovery and pleasure</w:t>
      </w:r>
    </w:p>
    <w:p>
      <w:r>
        <w:t>A useful draft asks what the listener knows at the start and what becomes clearer by the end. The change can be small: noticing an agreement in the shape of a garden, understanding why a local venue mattered, or recognising a vanished social world. The narrator need not announce this change as a moral.</w:t>
      </w:r>
    </w:p>
    <w:p>
      <w:r>
        <w:t>Ira Glass describes a productive relationship between events and reflection in his kind of radio storytelling. He also stresses finding the genuinely compelling part of the material and recognises exceptions to his usual narrative form. I would borrow that movement between the particular and its meaning, while avoiding a compulsory “big idea” at every stop. [4]</w:t>
      </w:r>
    </w:p>
    <w:p>
      <w:pPr>
        <w:pStyle w:val="Heading2"/>
      </w:pPr>
      <w:r>
        <w:t>Give information when it becomes useful</w:t>
      </w:r>
    </w:p>
    <w:p>
      <w:r>
        <w:t>Your Tally Ho feedback calls for the important road context before the secondary naming anecdote. That should guide this example. More generally, context needs to arrive before its absence causes confusion. It need not become a compulsory opening paragraph containing the whole chronology.</w:t>
      </w:r>
    </w:p>
    <w:p>
      <w:r>
        <w:t>Introduce an unfamiliar person through their role in this story. Give a date where it locates a change or scene. Use a name again only when the listener needs to remember it. The aim is to make the account understandable on one hearing, not to remove every proper noun or interesting complication.</w:t>
      </w:r>
    </w:p>
    <w:p>
      <w:r>
        <w:t>An opening can begin with a visible oddity, a compact fact, an action or a question. It should deliver on its promise promptly enough to retain trust. “You won't believe what happened here” is no substitute for finding something worth hearing.</w:t>
      </w:r>
    </w:p>
    <w:p>
      <w:pPr>
        <w:pStyle w:val="Heading2"/>
      </w:pPr>
      <w:r>
        <w:t>Make the detail earn its space</w:t>
      </w:r>
    </w:p>
    <w:p>
      <w:r>
        <w:t>A good detail can do more than decorate. A lease condition can explain a gap between buildings. A programme can reveal what an audience paid for and how a venue fitted into the week. A room's materials can make a vanished interior different from the cinemas the listener already knows.</w:t>
      </w:r>
    </w:p>
    <w:p>
      <w:r>
        <w:t>Ask which detail would change the listener's mental picture if removed. Prefer that to a string of interchangeable sensations. Your response to wood panelling and tea-and-cake is useful here, but not a mandate to put décor and refreshments into every story.</w:t>
      </w:r>
    </w:p>
    <w:p>
      <w:pPr>
        <w:pStyle w:val="Heading2"/>
      </w:pPr>
      <w:r>
        <w:t>Supported imagination is part of the craft</w:t>
      </w:r>
    </w:p>
    <w:p>
      <w:r>
        <w:t>Choose a period and a particular kind of activity. Establish the documented physical setting and the relevant social context. Then use plausible movement, sound and ordinary activity to make that setting imaginable, with a natural frame such as “Picture an evening here in…”. Individual sensory details need not each have an eyewitness record. The reconstruction should stay consistent with what we know.</w:t>
      </w:r>
    </w:p>
    <w:p>
      <w:r>
        <w:t>Keep a short note behind the passage: documented foundation; supported inference; imagined connective texture; details deliberately left unknown. A writer should be free to make the scene vivid within that foundation. Review should catch false implications, not flatten it into a cautious list.</w:t>
      </w:r>
    </w:p>
    <w:p>
      <w:r>
        <w:t>At Torrington, the performers' identities could determine what sort of scene is plausible. It would still take more evidence to describe the actual audience's clothes, reactions or a particular exchange on stage. Generic period knowledge can inform an imagined crowd without becoming a witnessed account of that advertised night.</w:t>
      </w:r>
    </w:p>
    <w:p>
      <w:pPr>
        <w:pStyle w:val="Heading2"/>
      </w:pPr>
      <w:r>
        <w:t>Let wider thought emerge from the particulars</w:t>
      </w:r>
    </w:p>
    <w:p>
      <w:r>
        <w:t>An insight can say more than the source explicitly says. It should show its reasoning and remain proportionate to the evidence. “This suggests…” can introduce interpretation, but does not excuse a leap.</w:t>
      </w:r>
    </w:p>
    <w:p>
      <w:r>
        <w:t>Your digression cap should remain a time allowance. Before assigning one, distinguish context needed to understand this place from an excursion into a wider subject. Then ask what the excursion gives back to the local account. A short generic sermon can be worse than a longer, tightly connected explanation. The proposed 25% ceiling is still untested and unapproved; I would use a deliberate seconds allowance for the next draft, with the return to the place written into the outline.</w:t>
      </w:r>
    </w:p>
    <w:p>
      <w:r>
        <w:t>VoiceMap's March 2026 craft advice offers useful techniques for action, scenes and character, but some prescriptions are too broad for us: always opening with action, restricting names to a fixed count, or using music to direct emotion. Its claims about involuntary imagery and memory should not be treated as research findings. We can borrow techniques without adopting its whole aesthetic. [5]</w:t>
      </w:r>
    </w:p>
    <w:p>
      <w:pPr>
        <w:pStyle w:val="Heading1"/>
      </w:pPr>
      <w:r>
        <w:t>5 The walk contributes to the telling</w:t>
      </w:r>
    </w:p>
    <w:p>
      <w:r>
        <w:t xml:space="preserve">We have been evaluating the benefit of being at each stop. I would add the benefit of </w:t>
      </w:r>
      <w:r>
        <w:rPr>
          <w:b/>
        </w:rPr>
        <w:t>having travelled between them</w:t>
      </w:r>
      <w:r>
        <w:t>: a change of scale, noise, frontage or use can make the next story intelligible. Two individually modest places can make a strong pair; two excellent standalone accounts can still feel repetitive together.</w:t>
      </w:r>
    </w:p>
    <w:p>
      <w:r>
        <w:t>Film provides useful craft analogies. An establishing view locates a scene. A close detail directs attention. Juxtaposition makes differences legible. Returning to an earlier image can give an ending its force. These are proposals for tour design, not proof that a walker responds like a cinema audience.</w:t>
      </w:r>
    </w:p>
    <w:p>
      <w:r>
        <w:t>A film controls its frame and timing; our visitor chooses where to look, may miss a cue and can encounter a changed street. Spoken orientation should invite and support attention without pretending to control the view. Never make a central explanation depend on spotting a tiny, unverified feature at an exact second.</w:t>
      </w:r>
    </w:p>
    <w:p>
      <w:pPr>
        <w:pStyle w:val="Heading2"/>
      </w:pPr>
      <w:r>
        <w:t>Plan three things together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672"/>
        <w:gridCol w:w="3960"/>
      </w:tblGrid>
      <w:tr>
        <w:trPr>
          <w:cantSplit/>
          <w:tblHeader/>
        </w:trPr>
        <w:tc>
          <w:tcPr>
            <w:tcW w:type="dxa" w:w="2160"/>
            <w:vAlign w:val="center"/>
            <w:tcMar>
              <w:top w:w="90" w:type="dxa"/>
              <w:bottom w:w="90" w:type="dxa"/>
              <w:left w:w="90" w:type="dxa"/>
              <w:right w:w="90" w:type="dxa"/>
            </w:tcMar>
            <w:shd w:fill="F2F2F2"/>
          </w:tcPr>
          <w:p>
            <w:pPr>
              <w:keepNext/>
              <w:spacing w:after="40" w:line="245" w:lineRule="auto"/>
            </w:pPr>
            <w:r>
              <w:rPr>
                <w:b/>
                <w:sz w:val="20"/>
              </w:rPr>
              <w:t>Moment</w:t>
            </w:r>
          </w:p>
        </w:tc>
        <w:tc>
          <w:tcPr>
            <w:tcW w:type="dxa" w:w="3672"/>
            <w:vAlign w:val="center"/>
            <w:tcMar>
              <w:top w:w="90" w:type="dxa"/>
              <w:bottom w:w="90" w:type="dxa"/>
              <w:left w:w="90" w:type="dxa"/>
              <w:right w:w="90" w:type="dxa"/>
            </w:tcMar>
            <w:shd w:fill="F2F2F2"/>
          </w:tcPr>
          <w:p>
            <w:pPr>
              <w:keepNext/>
              <w:spacing w:after="40" w:line="245" w:lineRule="auto"/>
            </w:pPr>
            <w:r>
              <w:rPr>
                <w:b/>
                <w:sz w:val="20"/>
              </w:rPr>
              <w:t>What the visitor can experience</w:t>
            </w:r>
          </w:p>
        </w:tc>
        <w:tc>
          <w:tcPr>
            <w:tcW w:type="dxa" w:w="3960"/>
            <w:vAlign w:val="center"/>
            <w:tcMar>
              <w:top w:w="90" w:type="dxa"/>
              <w:bottom w:w="90" w:type="dxa"/>
              <w:left w:w="90" w:type="dxa"/>
              <w:right w:w="90" w:type="dxa"/>
            </w:tcMar>
            <w:shd w:fill="F2F2F2"/>
          </w:tcPr>
          <w:p>
            <w:pPr>
              <w:keepNext/>
              <w:spacing w:after="40" w:line="245" w:lineRule="auto"/>
            </w:pPr>
            <w:r>
              <w:rPr>
                <w:b/>
                <w:sz w:val="20"/>
              </w:rPr>
              <w:t>What narration should contribute</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Arriving</w:t>
            </w:r>
          </w:p>
        </w:tc>
        <w:tc>
          <w:tcPr>
            <w:tcW w:type="dxa" w:w="3672"/>
            <w:vAlign w:val="center"/>
            <w:tcMar>
              <w:top w:w="90" w:type="dxa"/>
              <w:bottom w:w="90" w:type="dxa"/>
              <w:left w:w="90" w:type="dxa"/>
              <w:right w:w="90" w:type="dxa"/>
            </w:tcMar>
          </w:tcPr>
          <w:p>
            <w:pPr>
              <w:keepNext/>
              <w:spacing w:after="40" w:line="245" w:lineRule="auto"/>
            </w:pPr>
            <w:r>
              <w:rPr>
                <w:b w:val="0"/>
                <w:sz w:val="20"/>
              </w:rPr>
              <w:t>A whole site, its neighbours, its scale</w:t>
            </w:r>
          </w:p>
        </w:tc>
        <w:tc>
          <w:tcPr>
            <w:tcW w:type="dxa" w:w="3960"/>
            <w:vAlign w:val="center"/>
            <w:tcMar>
              <w:top w:w="90" w:type="dxa"/>
              <w:bottom w:w="90" w:type="dxa"/>
              <w:left w:w="90" w:type="dxa"/>
              <w:right w:w="90" w:type="dxa"/>
            </w:tcMar>
          </w:tcPr>
          <w:p>
            <w:pPr>
              <w:keepNext/>
              <w:spacing w:after="40" w:line="245" w:lineRule="auto"/>
            </w:pPr>
            <w:r>
              <w:rPr>
                <w:b w:val="0"/>
                <w:sz w:val="20"/>
              </w:rPr>
              <w:t>Orientation and a reason this place matters</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Looking more closely</w:t>
            </w:r>
          </w:p>
        </w:tc>
        <w:tc>
          <w:tcPr>
            <w:tcW w:type="dxa" w:w="3672"/>
            <w:vAlign w:val="center"/>
            <w:tcMar>
              <w:top w:w="90" w:type="dxa"/>
              <w:bottom w:w="90" w:type="dxa"/>
              <w:left w:w="90" w:type="dxa"/>
              <w:right w:w="90" w:type="dxa"/>
            </w:tcMar>
          </w:tcPr>
          <w:p>
            <w:pPr>
              <w:keepNext/>
              <w:spacing w:after="40" w:line="245" w:lineRule="auto"/>
            </w:pPr>
            <w:r>
              <w:rPr>
                <w:b w:val="0"/>
                <w:sz w:val="20"/>
              </w:rPr>
              <w:t>A verified detail or a conspicuous absence</w:t>
            </w:r>
          </w:p>
        </w:tc>
        <w:tc>
          <w:tcPr>
            <w:tcW w:type="dxa" w:w="3960"/>
            <w:vAlign w:val="center"/>
            <w:tcMar>
              <w:top w:w="90" w:type="dxa"/>
              <w:bottom w:w="90" w:type="dxa"/>
              <w:left w:w="90" w:type="dxa"/>
              <w:right w:w="90" w:type="dxa"/>
            </w:tcMar>
          </w:tcPr>
          <w:p>
            <w:pPr>
              <w:keepNext/>
              <w:spacing w:after="40" w:line="245" w:lineRule="auto"/>
            </w:pPr>
            <w:r>
              <w:rPr>
                <w:b w:val="0"/>
                <w:sz w:val="20"/>
              </w:rPr>
              <w:t>The explanation that makes it worth noticing</w:t>
            </w:r>
          </w:p>
        </w:tc>
      </w:tr>
      <w:tr>
        <w:trPr>
          <w:cantSplit/>
        </w:trPr>
        <w:tc>
          <w:tcPr>
            <w:tcW w:type="dxa" w:w="2160"/>
            <w:vAlign w:val="center"/>
            <w:tcMar>
              <w:top w:w="90" w:type="dxa"/>
              <w:bottom w:w="90" w:type="dxa"/>
              <w:left w:w="90" w:type="dxa"/>
              <w:right w:w="90" w:type="dxa"/>
            </w:tcMar>
          </w:tcPr>
          <w:p>
            <w:pPr>
              <w:keepNext/>
              <w:spacing w:after="40" w:line="245" w:lineRule="auto"/>
            </w:pPr>
            <w:r>
              <w:rPr>
                <w:b w:val="0"/>
                <w:sz w:val="20"/>
              </w:rPr>
              <w:t>Moving onward</w:t>
            </w:r>
          </w:p>
        </w:tc>
        <w:tc>
          <w:tcPr>
            <w:tcW w:type="dxa" w:w="3672"/>
            <w:vAlign w:val="center"/>
            <w:tcMar>
              <w:top w:w="90" w:type="dxa"/>
              <w:bottom w:w="90" w:type="dxa"/>
              <w:left w:w="90" w:type="dxa"/>
              <w:right w:w="90" w:type="dxa"/>
            </w:tcMar>
          </w:tcPr>
          <w:p>
            <w:pPr>
              <w:keepNext/>
              <w:spacing w:after="40" w:line="245" w:lineRule="auto"/>
            </w:pPr>
            <w:r>
              <w:rPr>
                <w:b w:val="0"/>
                <w:sz w:val="20"/>
              </w:rPr>
              <w:t>A change in setting or relationship between places</w:t>
            </w:r>
          </w:p>
        </w:tc>
        <w:tc>
          <w:tcPr>
            <w:tcW w:type="dxa" w:w="3960"/>
            <w:vAlign w:val="center"/>
            <w:tcMar>
              <w:top w:w="90" w:type="dxa"/>
              <w:bottom w:w="90" w:type="dxa"/>
              <w:left w:w="90" w:type="dxa"/>
              <w:right w:w="90" w:type="dxa"/>
            </w:tcMar>
          </w:tcPr>
          <w:p>
            <w:pPr>
              <w:keepNext/>
              <w:spacing w:after="40" w:line="245" w:lineRule="auto"/>
            </w:pPr>
            <w:r>
              <w:rPr>
                <w:b w:val="0"/>
                <w:sz w:val="20"/>
              </w:rPr>
              <w:t>A transition, a walking chapter where useful, or quiet</w:t>
            </w:r>
          </w:p>
        </w:tc>
      </w:tr>
      <w:tr>
        <w:trPr>
          <w:cantSplit/>
        </w:trPr>
        <w:tc>
          <w:tcPr>
            <w:tcW w:type="dxa" w:w="2160"/>
            <w:vAlign w:val="center"/>
            <w:tcMar>
              <w:top w:w="90" w:type="dxa"/>
              <w:bottom w:w="90" w:type="dxa"/>
              <w:left w:w="90" w:type="dxa"/>
              <w:right w:w="90" w:type="dxa"/>
            </w:tcMar>
          </w:tcPr>
          <w:p>
            <w:pPr>
              <w:keepNext w:val="0"/>
              <w:spacing w:after="40" w:line="245" w:lineRule="auto"/>
            </w:pPr>
            <w:r>
              <w:rPr>
                <w:b w:val="0"/>
                <w:sz w:val="20"/>
              </w:rPr>
              <w:t>Reaching the finish</w:t>
            </w:r>
          </w:p>
        </w:tc>
        <w:tc>
          <w:tcPr>
            <w:tcW w:type="dxa" w:w="3672"/>
            <w:vAlign w:val="center"/>
            <w:tcMar>
              <w:top w:w="90" w:type="dxa"/>
              <w:bottom w:w="90" w:type="dxa"/>
              <w:left w:w="90" w:type="dxa"/>
              <w:right w:w="90" w:type="dxa"/>
            </w:tcMar>
          </w:tcPr>
          <w:p>
            <w:pPr>
              <w:keepNext w:val="0"/>
              <w:spacing w:after="40" w:line="245" w:lineRule="auto"/>
            </w:pPr>
            <w:r>
              <w:rPr>
                <w:b w:val="0"/>
                <w:sz w:val="20"/>
              </w:rPr>
              <w:t>A last view or return to familiar ground</w:t>
            </w:r>
          </w:p>
        </w:tc>
        <w:tc>
          <w:tcPr>
            <w:tcW w:type="dxa" w:w="3960"/>
            <w:vAlign w:val="center"/>
            <w:tcMar>
              <w:top w:w="90" w:type="dxa"/>
              <w:bottom w:w="90" w:type="dxa"/>
              <w:left w:w="90" w:type="dxa"/>
              <w:right w:w="90" w:type="dxa"/>
            </w:tcMar>
          </w:tcPr>
          <w:p>
            <w:pPr>
              <w:keepNext w:val="0"/>
              <w:spacing w:after="40" w:line="245" w:lineRule="auto"/>
            </w:pPr>
            <w:r>
              <w:rPr>
                <w:b w:val="0"/>
                <w:sz w:val="20"/>
              </w:rPr>
              <w:t>A connection that now means more, plus a clear ending</w:t>
            </w:r>
          </w:p>
        </w:tc>
      </w:tr>
    </w:tbl>
    <w:p>
      <w:pPr>
        <w:spacing w:after="0"/>
      </w:pPr>
    </w:p>
    <w:p>
      <w:r>
        <w:t>This is a paper planning aid, not a new playback feature. We must design within the current player: prepared stop narration, directions and supported walking chapters. More elaborate mid-story cues need a separate technical decision.</w:t>
      </w:r>
    </w:p>
    <w:p>
      <w:r>
        <w:t>VoiceMap emphasises shaping scripts around a workable route, while treating the line on the map as revisable. That is useful producer experience. Its typical duration, speech density and preference for frequent moving narration are not requirements for Sidi. [6]</w:t>
      </w:r>
    </w:p>
    <w:p>
      <w:r>
        <w:t>Janet Cardiff and George Bures Miller's own description of their walks illustrates how recorded material and present surroundings can interact. Their work deliberately uses fiction and perceptual ambiguity; our historical narrator and directions need a different contract. We can learn from the importance of being there without importing simulated events or promising immersion from narration alone. [7]</w:t>
      </w:r>
    </w:p>
    <w:p>
      <w:pPr>
        <w:pStyle w:val="Heading2"/>
      </w:pPr>
      <w:r>
        <w:t>Let the route develop the theme</w:t>
      </w:r>
    </w:p>
    <w:p>
      <w:r>
        <w:t>A topic might be entertainment; a more productive question is what kinds of gathering a neighbourhood made possible, for whom, and what survives. Different stops could supply pleasure, access, aspiration, exclusion or reinvention. They need not all confirm one answer.</w:t>
      </w:r>
    </w:p>
    <w:p>
      <w:r>
        <w:t>A theme should be proposed after the survey, challenged by research, and revised before final writing. A memorable outlier may earn a place as relief or contrast. If it requires a strained bridge, admit that it is a delightful aside or omit it.</w:t>
      </w:r>
    </w:p>
    <w:p>
      <w:r>
        <w:t>Rhythm includes emotional and intellectual load as well as seconds of audio. An intricate explanation may be followed by a brief anecdote, an easy observation or quiet. No requirement makes every minute narrated or every silence productive. Comfortable walking is itself part of the value.</w:t>
      </w:r>
    </w:p>
    <w:p>
      <w:pPr>
        <w:pStyle w:val="Heading1"/>
      </w:pPr>
      <w:r>
        <w:t>6 Three treatments of the same material</w:t>
      </w:r>
    </w:p>
    <w:p>
      <w:r>
        <w:t xml:space="preserve">These are new </w:t>
      </w:r>
      <w:r>
        <w:rPr>
          <w:b/>
        </w:rPr>
        <w:t>discussion sketches</w:t>
      </w:r>
      <w:r>
        <w:t xml:space="preserve">, not replacement Finchley scripts or claims of improved audience response. They use the existing sourced Crescent material: villas laid out from 1867; planted setback; historical hundred-year leases restricting building and requiring the shared ground to remain unbuilt and planted. The lease parties, developer and current ownership/maintenance remain unresolved. See the </w:t>
      </w:r>
      <w:hyperlink r:id="rId13">
        <w:r>
          <w:rPr>
            <w:color w:val="225477"/>
          </w:rPr>
          <w:t>actual paragraphs and evidence</w:t>
        </w:r>
      </w:hyperlink>
      <w:r>
        <w:t xml:space="preserve"> and </w:t>
      </w:r>
      <w:hyperlink r:id="rId14">
        <w:r>
          <w:rPr>
            <w:color w:val="225477"/>
          </w:rPr>
          <w:t>clarified limits</w:t>
        </w:r>
      </w:hyperlink>
      <w:r>
        <w:t>.</w:t>
      </w:r>
    </w:p>
    <w:p>
      <w:pPr>
        <w:pStyle w:val="Heading2"/>
      </w:pPr>
      <w:r>
        <w:t>Treatment A Clear factual account</w:t>
      </w:r>
    </w:p>
    <w:p>
      <w:r>
        <w:t>The villas were laid out from 1867 on the Moss Hall estate. Their hundred-year leases restricted alterations and protected the planted ground in front from building. The houses and the open space were parts of the same arrangement. The garden was an amenity the leases were intended to preserve.</w:t>
      </w:r>
    </w:p>
    <w:p>
      <w:r/>
      <w:r>
        <w:rPr>
          <w:b/>
        </w:rPr>
        <w:t>What it offers:</w:t>
      </w:r>
      <w:r>
        <w:t xml:space="preserve"> clarity and economy. </w:t>
      </w:r>
      <w:r>
        <w:rPr>
          <w:b/>
        </w:rPr>
        <w:t>What it lacks:</w:t>
      </w:r>
      <w:r>
        <w:t xml:space="preserve"> much sense of discovery or lived experience. This could be sufficient for a short passing observation.</w:t>
      </w:r>
    </w:p>
    <w:p>
      <w:pPr>
        <w:pStyle w:val="Heading2"/>
      </w:pPr>
      <w:r>
        <w:t>Treatment B An explanation you can see</w:t>
      </w:r>
    </w:p>
    <w:p>
      <w:r>
        <w:t>The houses stand back from the road, behind a strip of greenery. When the villas were laid out from 1867, that open space was part of the deal. Their hundred-year leases required it to stay unbuilt and planted. So the layout included a restriction on what could fill the gap. The buildings tell you where construction happened; the garden helps you picture a limit placed on it. The surviving historical account does not tell us who maintains the ground today, so it would be a mistake to call it a residents' cooperative.</w:t>
      </w:r>
    </w:p>
    <w:p>
      <w:r/>
      <w:r>
        <w:rPr>
          <w:b/>
        </w:rPr>
        <w:t>What it offers:</w:t>
      </w:r>
      <w:r>
        <w:t xml:space="preserve"> a visible arrangement becomes understandable. </w:t>
      </w:r>
      <w:r>
        <w:rPr>
          <w:b/>
        </w:rPr>
        <w:t>Tradeoff:</w:t>
      </w:r>
      <w:r>
        <w:t xml:space="preserve"> the final uncertainty is useful if ownership matters to the account, but may be too administrative for this short telling. Further research could answer it; omission would be preferable to an invented answer.</w:t>
      </w:r>
    </w:p>
    <w:p>
      <w:pPr>
        <w:pStyle w:val="Heading2"/>
      </w:pPr>
      <w:r>
        <w:t>Treatment C A brief imagined offer</w:t>
      </w:r>
    </w:p>
    <w:p>
      <w:r>
        <w:t>Picture choosing a home here in the years after 1867. There is the house, of course: its own front door, its windows facing the road. But there is also the space before you reach that road, planted rather than built over. The lease protects that part of the prospect. You are being offered a setting as well as a building. We do not know what any particular buyer thought of it; this is a way of imagining what the arrangement made available.</w:t>
      </w:r>
    </w:p>
    <w:p>
      <w:r/>
      <w:r>
        <w:rPr>
          <w:b/>
        </w:rPr>
        <w:t>What it offers:</w:t>
      </w:r>
      <w:r>
        <w:t xml:space="preserve"> a human-scale experience without inventing a named resident or transaction. </w:t>
      </w:r>
      <w:r>
        <w:rPr>
          <w:b/>
        </w:rPr>
        <w:t>Tradeoff:</w:t>
      </w:r>
      <w:r>
        <w:t xml:space="preserve"> the final caveat interrupts the scene. With the imagined frame already established, a final script could retain the limitation in its evidence notes and avoid that interruption. More period-specific research could also make the scene less generic.</w:t>
      </w:r>
    </w:p>
    <w:p>
      <w:r>
        <w:t>My preference is a short version of B followed by selected detail from C, if that combination earns its time. A is not a failure; it is a different use of the material. The best treatment depends on the route, surrounding stories and how long we comfortably ask someone to stand here.</w:t>
      </w:r>
    </w:p>
    <w:p>
      <w:pPr>
        <w:pStyle w:val="Heading2"/>
      </w:pPr>
      <w:r>
        <w:t>A small research probe at Torrington</w:t>
      </w:r>
    </w:p>
    <w:p>
      <w:r>
        <w:t xml:space="preserve">I followed your question about the two names in the advert. Barrett's own retrospective biography places the duo on the 1977 pub-rock circuit and describes their contrasting performance personalities. This is useful first-party material, though promotional and written much later. Separately, Official Charts records their single </w:t>
      </w:r>
      <w:r>
        <w:rPr>
          <w:i/>
        </w:rPr>
        <w:t>Really Free</w:t>
      </w:r>
      <w:r>
        <w:t xml:space="preserve"> entering the chart in December 1977 and reaching number 27. [11, 12]</w:t>
      </w:r>
    </w:p>
    <w:p>
      <w:r>
        <w:t>That changes the potential account. The June advert is now an invitation to hear a particular act before that chart success, rather than an interchangeable example of “live music”. A possible short treatment is:</w:t>
      </w:r>
    </w:p>
    <w:p>
      <w:r>
        <w:t xml:space="preserve">Picture reading this bill in June 1977. Eighty pence, Sunday evening, John Otway and Wild Willy Barrett. Their later account describes a partnership built on contrasts: Barrett's musical skill and dry humour alongside Otway's unruly showmanship. By December, the pair would be in the singles chart with </w:t>
      </w:r>
      <w:r>
        <w:rPr>
          <w:i/>
        </w:rPr>
        <w:t>Really Free</w:t>
      </w:r>
      <w:r>
        <w:t>. That future was still ahead of this little advert. The attraction here is the possibility of encountering an act locally before knowing what would become of it.</w:t>
      </w:r>
    </w:p>
    <w:p>
      <w:r>
        <w:t>The dates support the contrast; the final attraction is my interpretation. We still cannot assert that the advertised concert took place or transplant a reported stunt from another performance into this pub. A contemporary review or recording could refine the performance description. The research has nevertheless already changed the pitch and the scene we would try to write. This is a demonstration of the method, not a revision to the installed tour.</w:t>
      </w:r>
    </w:p>
    <w:p>
      <w:pPr>
        <w:pStyle w:val="Heading2"/>
      </w:pPr>
      <w:r>
        <w:t>The missing step at artsdepot</w:t>
      </w:r>
    </w:p>
    <w:p>
      <w:r>
        <w:t>The known sequence runs from cinema to closure and demolition, then a request for cultural provision, campaigning and a new venue. The tempting shortcut is “people need culture”. The richer research question is what these people wanted this venue to do, which alternatives they considered, and who expected to use it.</w:t>
      </w:r>
    </w:p>
    <w:p>
      <w:r>
        <w:t>Those answers could change the scene selection and the tour's conclusion. If the records never supply them, we should tell the narrower supported account and offer a bounded interpretation. We should not manufacture the campaigners' reasons to complete a satisfying arc. This is why some writing problems need another research question before another draft.</w:t>
      </w:r>
    </w:p>
    <w:p>
      <w:pPr>
        <w:pStyle w:val="Heading1"/>
      </w:pPr>
      <w:r>
        <w:t>7 Learn craft from actual examples</w:t>
      </w:r>
    </w:p>
    <w:p>
      <w:r>
        <w:t>Three references are particularly useful for discussion:</w:t>
      </w:r>
    </w:p>
    <w:p>
      <w:pPr>
        <w:pStyle w:val="ListBullet"/>
      </w:pPr>
      <w:r/>
      <w:r>
        <w:rPr>
          <w:b/>
        </w:rPr>
        <w:t>99% Invisible, “Curb Cuts”.</w:t>
      </w:r>
      <w:r>
        <w:t xml:space="preserve"> The published transcript begins with an unusual museum object, connects it to people and access, and later broadens the significance of an everyday street feature. My craft takeaway is the connection between a concrete thing and a wider mechanism. We should not transplant Berkeley's history onto a London pavement or require its long podcast structure at one stop. This is a transcript study, not a new listening assessment. [8]</w:t>
      </w:r>
    </w:p>
    <w:p>
      <w:pPr>
        <w:pStyle w:val="ListBullet"/>
      </w:pPr>
      <w:r/>
      <w:r>
        <w:rPr>
          <w:b/>
        </w:rPr>
        <w:t>The editing of The Cave.</w:t>
      </w:r>
      <w:r>
        <w:t xml:space="preserve"> In BFI's account, its editors describe first working with selected scenes to discuss content and style, and including everyday life alongside the film's intense events. My adaptation is to build a small sample of the tour's actual moments early, then judge their range and transitions. The subject matter and emotional intensity are not a model for our pleasant walk. [9]</w:t>
      </w:r>
    </w:p>
    <w:p>
      <w:pPr>
        <w:pStyle w:val="ListBullet"/>
      </w:pPr>
      <w:r/>
      <w:r>
        <w:rPr>
          <w:b/>
        </w:rPr>
        <w:t>Ross on Hale County.</w:t>
      </w:r>
      <w:r>
        <w:t xml:space="preserve"> His account challenges the assumption that every encounter must be a dramatic incident. It suggests looking for revealing relationships among ordinary moments. Our adaptation still needs clear orientation and specific discovery; “atmospheric” must not become an excuse for weak research. [3]</w:t>
      </w:r>
    </w:p>
    <w:p>
      <w:r>
        <w:t>For writing itself, use a simple spoken edit. Tell the account without reading the draft, notice where the explanation naturally goes, then compare. Read the revised script aloud. Listen to a short rendered George sample for phrasing and pronunciation before rendering everything. A passage that reads elegantly may sound cumbersome. VoiceMap's writing-for-voice guidance supports this practical check; it does not establish an ideal sentence length. [10]</w:t>
      </w:r>
    </w:p>
    <w:p>
      <w:pPr>
        <w:pStyle w:val="Heading1"/>
      </w:pPr>
      <w:r>
        <w:t>8 Two more tours as an apprenticeship</w:t>
      </w:r>
    </w:p>
    <w:p>
      <w:r>
        <w:t>I recommend two worthwhile, ordinary outings, prepared sequentially. They are learning opportunities, not a controlled experiment or a quota of physical tests. We can change the second after hearing the first. Neither requires a new app feature, a different voice or a full tour-length commitment now.</w:t>
      </w:r>
    </w:p>
    <w:p>
      <w:pPr>
        <w:pStyle w:val="Heading2"/>
      </w:pPr>
      <w:r>
        <w:t>Tour 1 Follow a developing question</w:t>
      </w:r>
    </w:p>
    <w:p>
      <w:r>
        <w:t>Choose a compact area where places can provide different parts of an answer: how a neighbourhood was made, what enabled a local industry, or how people created places to meet. Select the question from the survey and evidence, not from an attractive title alone.</w:t>
      </w:r>
    </w:p>
    <w:p>
      <w:r>
        <w:t>Aim for a leg that changes how the next stop is understood, one well-supported imagined scene, and an ending that revisits something the listener encountered earlier. These are proposed ambitions, not boxes to force onto unsuitable material.</w:t>
      </w:r>
    </w:p>
    <w:p>
      <w:r/>
      <w:r>
        <w:rPr>
          <w:b/>
        </w:rPr>
        <w:t>What we want to learn:</w:t>
      </w:r>
      <w:r>
        <w:t xml:space="preserve"> does the connecting question enrich the individual encounters without becoming a lecture or making later stops incomprehensible after a missed passage?</w:t>
      </w:r>
    </w:p>
    <w:p>
      <w:pPr>
        <w:pStyle w:val="Heading2"/>
      </w:pPr>
      <w:r>
        <w:t>Tour 2 Build a portrait through contrasts</w:t>
      </w:r>
    </w:p>
    <w:p>
      <w:r>
        <w:t>Choose a place with varied settings and specific contemporary life. Let encounters differ in form: a person or institution, an explanation of a visible feature, a historical scene, a brief amusing detail and some unhurried walking. Keep a recognisable perspective, while allowing the place's variety to resist a single thesis.</w:t>
      </w:r>
    </w:p>
    <w:p>
      <w:r/>
      <w:r>
        <w:rPr>
          <w:b/>
        </w:rPr>
        <w:t>What we want to learn:</w:t>
      </w:r>
      <w:r>
        <w:t xml:space="preserve"> can a looser structure feel deliberately composed, with equal discovery and a satisfying finish? Variety alone is not the answer; the relationships and rhythm need work.</w:t>
      </w:r>
    </w:p>
    <w:p>
      <w:r>
        <w:t>My provisional preference is one familiar area and one unfamiliar area, subject to your convenience. Familiar surroundings make new perception especially visible; an unfamiliar area exposes assumptions about orientation and prior knowledge. Because both the area and structure would change, we must not attribute a preference to structure alone. If staying close to home is preferable, both approaches can be explored locally.</w:t>
      </w:r>
    </w:p>
    <w:p>
      <w:pPr>
        <w:pStyle w:val="Heading2"/>
      </w:pPr>
      <w:r>
        <w:t>Prepare each with a small editorial workshop</w:t>
      </w:r>
    </w:p>
    <w:p>
      <w:pPr>
        <w:ind w:left="259" w:hanging="259"/>
      </w:pPr>
      <w:r>
        <w:t xml:space="preserve">1. </w:t>
      </w:r>
      <w:r>
        <w:rPr>
          <w:b/>
        </w:rPr>
        <w:t>Survey and scout at the desk.</w:t>
      </w:r>
      <w:r>
        <w:t xml:space="preserve"> Bring a candidate pool and two genuinely different ways of organising the best material. Retain a few promising alternatives without exhaustively scripting them.</w:t>
      </w:r>
    </w:p>
    <w:p>
      <w:pPr>
        <w:ind w:left="259" w:hanging="259"/>
      </w:pPr>
      <w:r>
        <w:t xml:space="preserve">2. </w:t>
      </w:r>
      <w:r>
        <w:rPr>
          <w:b/>
        </w:rPr>
        <w:t>Pitch the discoveries.</w:t>
      </w:r>
      <w:r>
        <w:t xml:space="preserve"> For each leading candidate, give the question or attraction, its strongest evidence/detail, the value of being there, and what could undermine the pitch.</w:t>
      </w:r>
    </w:p>
    <w:p>
      <w:pPr>
        <w:ind w:left="259" w:hanging="259"/>
      </w:pPr>
      <w:r>
        <w:t xml:space="preserve">3. </w:t>
      </w:r>
      <w:r>
        <w:rPr>
          <w:b/>
        </w:rPr>
        <w:t>Try contrasting samples.</w:t>
      </w:r>
      <w:r>
        <w:t xml:space="preserve"> Draft two short treatments of one promising subject and one sample of a different form. Choose on the strength of actual prose, not just labels such as “cinematic”. Sidi can react to these together; no routine permission chain is needed.</w:t>
      </w:r>
    </w:p>
    <w:p>
      <w:pPr>
        <w:ind w:left="259" w:hanging="259"/>
      </w:pPr>
      <w:r>
        <w:t xml:space="preserve">4. </w:t>
      </w:r>
      <w:r>
        <w:rPr>
          <w:b/>
        </w:rPr>
        <w:t>Assemble the walk on paper.</w:t>
      </w:r>
      <w:r>
        <w:t xml:space="preserve"> Read stories, transitions, directions and planned quiet in sequence while inspecting the route. Check what the visitor can know, see and remember at each point.</w:t>
      </w:r>
    </w:p>
    <w:p>
      <w:pPr>
        <w:ind w:left="259" w:hanging="259"/>
      </w:pPr>
      <w:r>
        <w:t xml:space="preserve">5. </w:t>
      </w:r>
      <w:r>
        <w:rPr>
          <w:b/>
        </w:rPr>
        <w:t>Produce and review.</w:t>
      </w:r>
      <w:r>
        <w:t xml:space="preserve"> Check claims, access, current affairs, measured audio timing, delivery and the whole experience. Address material problems; retain minor, recoverable limitations explicitly.</w:t>
      </w:r>
    </w:p>
    <w:p>
      <w:r>
        <w:t>After ordinary use, the most useful feedback is a moment that stayed with you, a place that changed in your eyes, and a stretch that dragged or confused you. Existing ratings and voice notes remain available; an answer at every stop is unnecessary. Keep subjective preference separate from a factual error or a technical failure.</w:t>
      </w:r>
    </w:p>
    <w:p>
      <w:pPr>
        <w:pStyle w:val="Heading1"/>
      </w:pPr>
      <w:r>
        <w:t>9 Divide the work without losing the story</w:t>
      </w:r>
    </w:p>
    <w:p>
      <w:r>
        <w:t>Your specialist-agent direction remains sound. I would improve the briefs before the next authoring assignment rather than build an orchestration system.</w:t>
      </w:r>
    </w:p>
    <w:p>
      <w:pPr>
        <w:pStyle w:val="ListBullet"/>
      </w:pPr>
      <w:r/>
      <w:r>
        <w:rPr>
          <w:b/>
        </w:rPr>
        <w:t>Researchers</w:t>
      </w:r>
      <w:r>
        <w:t xml:space="preserve"> return candidate explanations and decisive details, not just verified fact lists. They identify what would change the pitch and where the evidence is thin.</w:t>
      </w:r>
    </w:p>
    <w:p>
      <w:pPr>
        <w:pStyle w:val="ListBullet"/>
      </w:pPr>
      <w:r/>
      <w:r>
        <w:rPr>
          <w:b/>
        </w:rPr>
        <w:t>Curator and route reviewer</w:t>
      </w:r>
      <w:r>
        <w:t xml:space="preserve"> work together early. They decide what each encounter and the journey contribute, and whether a thin destination story belongs on a walking leg instead.</w:t>
      </w:r>
    </w:p>
    <w:p>
      <w:pPr>
        <w:pStyle w:val="ListBullet"/>
      </w:pPr>
      <w:r/>
      <w:r>
        <w:rPr>
          <w:b/>
        </w:rPr>
        <w:t>Writer</w:t>
      </w:r>
      <w:r>
        <w:t xml:space="preserve"> can propose a better angle and request focused research. Research, selection and writing form a loop; they are not a one-way production line.</w:t>
      </w:r>
    </w:p>
    <w:p>
      <w:pPr>
        <w:pStyle w:val="ListBullet"/>
      </w:pPr>
      <w:r/>
      <w:r>
        <w:rPr>
          <w:b/>
        </w:rPr>
        <w:t>Independent reviewer</w:t>
      </w:r>
      <w:r>
        <w:t xml:space="preserve"> reads the actual sources behind the central claims and the complete experience. A second agent approving the same unsupported summary is not independent verification.</w:t>
      </w:r>
    </w:p>
    <w:p>
      <w:pPr>
        <w:pStyle w:val="ListBullet"/>
      </w:pPr>
      <w:r/>
      <w:r>
        <w:rPr>
          <w:b/>
        </w:rPr>
        <w:t>Lead</w:t>
      </w:r>
      <w:r>
        <w:t xml:space="preserve"> owns a consistent narrator, a coherent walk and the final choices. Specialist drafts need an editorial pass together; otherwise the tour can sound like unrelated contributors taking turns.</w:t>
      </w:r>
    </w:p>
    <w:p>
      <w:r>
        <w:t xml:space="preserve">Add three small items to the existing handoff: </w:t>
      </w:r>
      <w:r>
        <w:rPr>
          <w:b/>
        </w:rPr>
        <w:t>the moment worth preserving; the strongest alternative treatment; the unresolved question that would change the decision.</w:t>
      </w:r>
      <w:r>
        <w:t xml:space="preserve"> Use existing notes and evidence records. This should make the work more productive without making the paperwork the product.</w:t>
      </w:r>
    </w:p>
    <w:p>
      <w:pPr>
        <w:pStyle w:val="Heading1"/>
      </w:pPr>
      <w:r>
        <w:t>10 The discussion I would have next</w:t>
      </w:r>
    </w:p>
    <w:p>
      <w:r>
        <w:t>These are preferences for us to explore, not blockers to finishing this paper:</w:t>
      </w:r>
    </w:p>
    <w:p>
      <w:pPr>
        <w:ind w:left="259" w:hanging="259"/>
      </w:pPr>
      <w:r>
        <w:t xml:space="preserve">1. </w:t>
      </w:r>
      <w:r>
        <w:rPr>
          <w:b/>
        </w:rPr>
        <w:t>How should the next walk feel overall?</w:t>
      </w:r>
      <w:r>
        <w:t xml:space="preserve"> My default is an observant, well-informed companion with room for amusement and occasional wonder. Would you like the first new tour to lean more towards an explanatory documentary or an evocative portrait?</w:t>
      </w:r>
    </w:p>
    <w:p>
      <w:pPr>
        <w:ind w:left="259" w:hanging="259"/>
      </w:pPr>
      <w:r>
        <w:t xml:space="preserve">2. </w:t>
      </w:r>
      <w:r>
        <w:rPr>
          <w:b/>
        </w:rPr>
        <w:t>Which Crescent treatment is closest to the pleasure you want?</w:t>
      </w:r>
      <w:r>
        <w:t xml:space="preserve"> We can discuss the prose and its balance of explanation and imagination, without reopening the completed Finchley package.</w:t>
      </w:r>
    </w:p>
    <w:p>
      <w:pPr>
        <w:ind w:left="259" w:hanging="259"/>
      </w:pPr>
      <w:r>
        <w:t xml:space="preserve">3. </w:t>
      </w:r>
      <w:r>
        <w:rPr>
          <w:b/>
        </w:rPr>
        <w:t>Where should the next pair take us?</w:t>
      </w:r>
      <w:r>
        <w:t xml:space="preserve"> One familiar and one unfamiliar area is my proposal. Travel convenience, realistic available time and your curiosity should decide the actual brief.</w:t>
      </w:r>
    </w:p>
    <w:p>
      <w:r>
        <w:t xml:space="preserve">The larger working hypothesis is that good tours emerge from </w:t>
      </w:r>
      <w:r>
        <w:rPr>
          <w:b/>
        </w:rPr>
        <w:t>finding something worth sharing, placing it where it becomes vivid, and editing the whole journey with care</w:t>
      </w:r>
      <w:r>
        <w:t>. We should keep that hypothesis open to the next walks, rather than prematurely freezing it into a scoring system.</w:t>
      </w:r>
    </w:p>
    <w:p>
      <w:pPr>
        <w:pStyle w:val="Heading1"/>
      </w:pPr>
      <w:r>
        <w:t>Sources</w:t>
      </w:r>
    </w:p>
    <w:p>
      <w:r>
        <w:t xml:space="preserve">[1] Paul J. Silvia, “What is interesting? Exploring the appraisal structure of interest”, </w:t>
      </w:r>
      <w:r>
        <w:rPr>
          <w:i/>
        </w:rPr>
        <w:t>Emotion</w:t>
      </w:r>
      <w:r>
        <w:t xml:space="preserve"> 5(1), 2005, 89–102. </w:t>
      </w:r>
      <w:hyperlink r:id="rId15">
        <w:r>
          <w:rPr>
            <w:color w:val="225477"/>
          </w:rPr>
          <w:t>Research abstract</w:t>
        </w:r>
      </w:hyperlink>
      <w:r>
        <w:t>. Experimental evidence; abstract reviewed, not full methods.</w:t>
      </w:r>
    </w:p>
    <w:p>
      <w:r>
        <w:t xml:space="preserve">[2] The Moth, </w:t>
      </w:r>
      <w:hyperlink r:id="rId16">
        <w:r>
          <w:rPr>
            <w:color w:val="225477"/>
          </w:rPr>
          <w:t>Storytelling Tips &amp; Tricks</w:t>
        </w:r>
      </w:hyperlink>
      <w:r>
        <w:t>. First-party performance guidance; applies to its format.</w:t>
      </w:r>
    </w:p>
    <w:p>
      <w:r>
        <w:t xml:space="preserve">[3] Max Fraser, </w:t>
      </w:r>
      <w:hyperlink r:id="rId17">
        <w:r>
          <w:rPr>
            <w:color w:val="225477"/>
          </w:rPr>
          <w:t>interview with RaMell Ross</w:t>
        </w:r>
      </w:hyperlink>
      <w:r>
        <w:t xml:space="preserve">, </w:t>
      </w:r>
      <w:r>
        <w:rPr>
          <w:i/>
        </w:rPr>
        <w:t>Dissent</w:t>
      </w:r>
      <w:r>
        <w:t>, Fall 2019. First-person account of filmmaking; interview text reviewed, not a viewing of the film.</w:t>
      </w:r>
    </w:p>
    <w:p>
      <w:r>
        <w:t xml:space="preserve">[4] Ira Glass, </w:t>
      </w:r>
      <w:hyperlink r:id="rId18">
        <w:r>
          <w:rPr>
            <w:color w:val="225477"/>
          </w:rPr>
          <w:t>Transom manifesto</w:t>
        </w:r>
      </w:hyperlink>
      <w:r>
        <w:t>, 1 June 2004, especially “What's a Story?” and “What's Not a Story?”. Practitioner reflection; text reviewed, embedded audio not newly assessed.</w:t>
      </w:r>
    </w:p>
    <w:p>
      <w:r>
        <w:t xml:space="preserve">[5] VoiceMap / Tom Darbyshire, </w:t>
      </w:r>
      <w:hyperlink r:id="rId19">
        <w:r>
          <w:rPr>
            <w:color w:val="225477"/>
          </w:rPr>
          <w:t>Writing scripts that make listeners feel something</w:t>
        </w:r>
      </w:hyperlink>
      <w:r>
        <w:t>, based on a March 2026 webinar. Producer advice; written article reviewed, not the webinar.</w:t>
      </w:r>
    </w:p>
    <w:p>
      <w:r>
        <w:t xml:space="preserve">[6] VoiceMap, </w:t>
      </w:r>
      <w:hyperlink r:id="rId20">
        <w:r>
          <w:rPr>
            <w:color w:val="225477"/>
          </w:rPr>
          <w:t>Deciding on a route</w:t>
        </w:r>
      </w:hyperlink>
      <w:r>
        <w:t>. Producer experience; walking section reviewed.</w:t>
      </w:r>
    </w:p>
    <w:p>
      <w:r>
        <w:t xml:space="preserve">[7] Janet Cardiff &amp; George Bures Miller, </w:t>
      </w:r>
      <w:hyperlink r:id="rId21">
        <w:r>
          <w:rPr>
            <w:color w:val="225477"/>
          </w:rPr>
          <w:t>Walks</w:t>
        </w:r>
      </w:hyperlink>
      <w:r>
        <w:t>. Artists' description of their medium; no firsthand walk claimed.</w:t>
      </w:r>
    </w:p>
    <w:p>
      <w:r>
        <w:t xml:space="preserve">[8] 99% Invisible, </w:t>
      </w:r>
      <w:hyperlink r:id="rId22">
        <w:r>
          <w:rPr>
            <w:color w:val="225477"/>
          </w:rPr>
          <w:t>Curb Cuts transcript</w:t>
        </w:r>
      </w:hyperlink>
      <w:r>
        <w:t>, page dated 27 April 2021. Primary programme text for craft analysis; not independent verification of every historical claim.</w:t>
      </w:r>
    </w:p>
    <w:p>
      <w:r>
        <w:t xml:space="preserve">[9] Nikki Baughan, </w:t>
      </w:r>
      <w:hyperlink r:id="rId23">
        <w:r>
          <w:rPr>
            <w:color w:val="225477"/>
          </w:rPr>
          <w:t>In praise of the undersung art of documentary editing</w:t>
        </w:r>
      </w:hyperlink>
      <w:r>
        <w:t>, BFI, 20 December 2019. Includes editors' first-person accounts; relevant passages reviewed.</w:t>
      </w:r>
    </w:p>
    <w:p>
      <w:r>
        <w:t xml:space="preserve">[10] VoiceMap, </w:t>
      </w:r>
      <w:hyperlink r:id="rId24">
        <w:r>
          <w:rPr>
            <w:color w:val="225477"/>
          </w:rPr>
          <w:t>Writing for voice</w:t>
        </w:r>
      </w:hyperlink>
      <w:r>
        <w:t>. Spoken-writing practice; article reviewed.</w:t>
      </w:r>
    </w:p>
    <w:p>
      <w:r>
        <w:t xml:space="preserve">[11] Wild Willy Barrett, </w:t>
      </w:r>
      <w:hyperlink r:id="rId25">
        <w:r>
          <w:rPr>
            <w:color w:val="225477"/>
          </w:rPr>
          <w:t>official press biography</w:t>
        </w:r>
      </w:hyperlink>
      <w:r>
        <w:t>. Retrospective promotional account; relevant biography and performance descriptions reviewed. Used as attributed context, not a report of the Torrington concert.</w:t>
      </w:r>
    </w:p>
    <w:p>
      <w:r>
        <w:t xml:space="preserve">[12] Official Charts, </w:t>
      </w:r>
      <w:hyperlink r:id="rId26">
        <w:r>
          <w:rPr>
            <w:color w:val="225477"/>
          </w:rPr>
          <w:t>Really Free chart history</w:t>
        </w:r>
      </w:hyperlink>
      <w:r>
        <w:t xml:space="preserve">. Primary chart record. The Torrington advert itself remains in the </w:t>
      </w:r>
      <w:hyperlink r:id="rId13">
        <w:r>
          <w:rPr>
            <w:color w:val="225477"/>
          </w:rPr>
          <w:t>existing evidence record</w:t>
        </w:r>
      </w:hyperlink>
      <w:r>
        <w:t>.</w:t>
      </w:r>
    </w:p>
    <w:p>
      <w:r>
        <w:t xml:space="preserve">All web references checked 18 September 2026. The earlier </w:t>
      </w:r>
      <w:hyperlink r:id="rId27">
        <w:r>
          <w:rPr>
            <w:color w:val="225477"/>
          </w:rPr>
          <w:t>heritage and visitor research review</w:t>
        </w:r>
      </w:hyperlink>
      <w:r>
        <w:t xml:space="preserve"> remains relevant with its original limitations. These sources inform editorial judgement; none validates this proposed tour method or supplies a universal optimum for Sidi.</w:t>
      </w:r>
    </w:p>
    <w:sectPr w:rsidR="00FC693F" w:rsidRPr="0006063C" w:rsidSect="00034616">
      <w:footerReference w:type="default" r:id="rId28"/>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8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widowControl/>
      <w:spacing w:after="120" w:line="259"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widowControl/>
      <w:numPr>
        <w:ilvl w:val="1"/>
      </w:numPr>
      <w:spacing w:after="120" w:line="259" w:lineRule="auto"/>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OUR-AUTHORING-PLAYBOOK.md" TargetMode="External"/><Relationship Id="rId10" Type="http://schemas.openxmlformats.org/officeDocument/2006/relationships/hyperlink" Target="TOUR-DESIGN-GUIDANCE.md" TargetMode="External"/><Relationship Id="rId11" Type="http://schemas.openxmlformats.org/officeDocument/2006/relationships/hyperlink" Target="authoring/SECOND-PASS-SOURCES.md" TargetMode="External"/><Relationship Id="rId12" Type="http://schemas.openxmlformats.org/officeDocument/2006/relationships/hyperlink" Target="authoring/SOURCE-MAP.md" TargetMode="External"/><Relationship Id="rId13" Type="http://schemas.openxmlformats.org/officeDocument/2006/relationships/hyperlink" Target="../../content/north-finchley/stories.json" TargetMode="External"/><Relationship Id="rId14" Type="http://schemas.openxmlformats.org/officeDocument/2006/relationships/hyperlink" Target="FIRST-TOUR-FEEDBACK-RECOVERY.md#owner-clarification-development-leases-and-the-parallel-street" TargetMode="External"/><Relationship Id="rId15" Type="http://schemas.openxmlformats.org/officeDocument/2006/relationships/hyperlink" Target="https://pubmed.ncbi.nlm.nih.gov/15755222/" TargetMode="External"/><Relationship Id="rId16" Type="http://schemas.openxmlformats.org/officeDocument/2006/relationships/hyperlink" Target="https://www.themoth.org/tell-your-story/storytelling-tips-tricks" TargetMode="External"/><Relationship Id="rId17" Type="http://schemas.openxmlformats.org/officeDocument/2006/relationships/hyperlink" Target="https://dissentmagazine.org/article/filming-the-black-belt-an-interview-with-ramell-ross/" TargetMode="External"/><Relationship Id="rId18" Type="http://schemas.openxmlformats.org/officeDocument/2006/relationships/hyperlink" Target="https://transom.org/2004/ira-glass/" TargetMode="External"/><Relationship Id="rId19" Type="http://schemas.openxmlformats.org/officeDocument/2006/relationships/hyperlink" Target="https://docs.voicemap.me/tour-publishers/writing-scripts-that-make-listeners-feel-something/" TargetMode="External"/><Relationship Id="rId20" Type="http://schemas.openxmlformats.org/officeDocument/2006/relationships/hyperlink" Target="https://docs.voicemap.me/tour-publishers/deciding-on-a-route/" TargetMode="External"/><Relationship Id="rId21" Type="http://schemas.openxmlformats.org/officeDocument/2006/relationships/hyperlink" Target="https://cardiffmiller.com/walks/" TargetMode="External"/><Relationship Id="rId22" Type="http://schemas.openxmlformats.org/officeDocument/2006/relationships/hyperlink" Target="https://99percentinvisible.org/episode/308-curb-cuts/transcript/" TargetMode="External"/><Relationship Id="rId23" Type="http://schemas.openxmlformats.org/officeDocument/2006/relationships/hyperlink" Target="https://www.bfi.org.uk/features/praise-undersung-art-documentary-editing" TargetMode="External"/><Relationship Id="rId24" Type="http://schemas.openxmlformats.org/officeDocument/2006/relationships/hyperlink" Target="https://docs.voicemap.me/tour-publishers/writing-for-voice/" TargetMode="External"/><Relationship Id="rId25" Type="http://schemas.openxmlformats.org/officeDocument/2006/relationships/hyperlink" Target="https://www.wildwillybarrett.com/press" TargetMode="External"/><Relationship Id="rId26" Type="http://schemas.openxmlformats.org/officeDocument/2006/relationships/hyperlink" Target="https://www.officialcharts.com/songs/john-otway-and-wild-willy-barrett-really-free/" TargetMode="External"/><Relationship Id="rId27" Type="http://schemas.openxmlformats.org/officeDocument/2006/relationships/hyperlink" Target="WALKING-TOUR-DESIGN-RESEARCH.md" TargetMode="External"/><Relationship Id="rId2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a walk worth taking</dc:title>
  <dc:subject>Second pass: tour and story craft</dc:subject>
  <dc:creator>Tour app</dc:creator>
  <cp:keywords>M2, authoring, synthesis</cp:keywords>
  <dc:description>generated by python-docx</dc:description>
  <cp:lastModifiedBy/>
  <cp:revision>1</cp:revision>
  <dcterms:created xsi:type="dcterms:W3CDTF">2013-12-23T23:15:00Z</dcterms:created>
  <dcterms:modified xsi:type="dcterms:W3CDTF">2013-12-23T23:15:00Z</dcterms:modified>
  <cp:category/>
</cp:coreProperties>
</file>