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rFonts w:ascii="Times New Roman" w:cs="Times New Roman" w:eastAsia="Times New Roman" w:hAnsi="Times New Roman"/>
          <w:sz w:val="21"/>
          <w:szCs w:val="21"/>
        </w:rPr>
        <w:t xml:space="preserve">ICT 4442 Deep Learning Mini Project</w:t>
      </w:r>
    </w:p>
    <w:p>
      <w:pPr>
        <w:spacing w:after="120" w:line="276"/>
        <w:jc w:val="center"/>
      </w:pPr>
      <w:r>
        <w:rPr>
          <w:rFonts w:ascii="Times New Roman" w:cs="Times New Roman" w:eastAsia="Times New Roman" w:hAnsi="Times New Roman"/>
          <w:sz w:val="21"/>
          <w:szCs w:val="21"/>
        </w:rPr>
        <w:t xml:space="preserve">Interim Submission — Report Template Part B</w:t>
      </w:r>
    </w:p>
    <w:p>
      <w:pPr>
        <w:spacing w:after="160" w:before="120"/>
        <w:jc w:val="center"/>
      </w:pPr>
      <w:r>
        <w:rPr>
          <w:rFonts w:ascii="Times New Roman" w:cs="Times New Roman" w:eastAsia="Times New Roman" w:hAnsi="Times New Roman"/>
          <w:b/>
          <w:bCs/>
          <w:sz w:val="32"/>
          <w:szCs w:val="32"/>
        </w:rPr>
        <w:t xml:space="preserve">On-Device Acoustic Event Detection: A Comparative Study of CNN, CRNN, and Transformer Architectures under the Accuracy–Efficiency Trade-off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4"/>
        <w:gridCol w:w="7824"/>
      </w:tblGrid>
      <w:tr>
        <w:trPr>
          <w:cantSplit/>
          <w:tblHeader w:val="false"/>
        </w:trPr>
        <w:tc>
          <w:tcPr>
            <w:tcW w:type="dxa" w:w="1814"/>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Members</w:t>
            </w:r>
          </w:p>
        </w:tc>
        <w:tc>
          <w:tcPr>
            <w:tcW w:type="dxa" w:w="782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Rohan Sinha (230911005) • Akshdeep Singh (230911466) • Siddharth Nair (230953284)</w:t>
            </w:r>
          </w:p>
        </w:tc>
      </w:tr>
      <w:tr>
        <w:trPr>
          <w:cantSplit/>
          <w:tblHeader w:val="false"/>
        </w:trPr>
        <w:tc>
          <w:tcPr>
            <w:tcW w:type="dxa" w:w="1814"/>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Dataset</w:t>
            </w:r>
          </w:p>
        </w:tc>
        <w:tc>
          <w:tcPr>
            <w:tcW w:type="dxa" w:w="782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UrbanSound8K (8,732 clips, 10 classes, predefined 10 folds)</w:t>
            </w:r>
          </w:p>
        </w:tc>
      </w:tr>
      <w:tr>
        <w:trPr>
          <w:cantSplit/>
          <w:tblHeader w:val="false"/>
        </w:trPr>
        <w:tc>
          <w:tcPr>
            <w:tcW w:type="dxa" w:w="1814"/>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Submission</w:t>
            </w:r>
          </w:p>
        </w:tc>
        <w:tc>
          <w:tcPr>
            <w:tcW w:type="dxa" w:w="782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Interim (Phase 2), due 25 Sep 2026</w:t>
            </w:r>
          </w:p>
        </w:tc>
      </w:tr>
    </w:tbl>
    <w:p>
      <w:pPr>
        <w:pStyle w:val="Heading1"/>
        <w:spacing w:after="120" w:before="240"/>
      </w:pPr>
      <w:r>
        <w:rPr>
          <w:rFonts w:ascii="Times New Roman" w:cs="Times New Roman" w:eastAsia="Times New Roman" w:hAnsi="Times New Roman"/>
          <w:b/>
          <w:bCs/>
          <w:color w:val="1F3A5F"/>
          <w:sz w:val="28"/>
          <w:szCs w:val="28"/>
        </w:rPr>
        <w:t xml:space="preserve">1. Project Summary and Progress to Date</w:t>
      </w:r>
    </w:p>
    <w:p>
      <w:pPr>
        <w:spacing w:after="120" w:line="276"/>
        <w:jc w:val="both"/>
      </w:pPr>
      <w:r>
        <w:rPr>
          <w:rFonts w:ascii="Times New Roman" w:cs="Times New Roman" w:eastAsia="Times New Roman" w:hAnsi="Times New Roman"/>
          <w:sz w:val="21"/>
          <w:szCs w:val="21"/>
        </w:rPr>
        <w:t xml:space="preserve">This project compares three deep-learning families, a convolutional network (CNN), a convolutional-recurrent network (CRNN) and an Audio Spectrogram Transformer (AST), for ten-class urban sound classification on UrbanSound8K, with the focus on the accuracy–efficiency trade-off for edge deployment. All models use the same audio source, the official 10-fold protocol, and one metric set: accuracy and macro-F1 for quality; parameters, on-disk size and CPU latency for efficiency. A compression axis (post-training quantization and pruning) is applied afterwards. This report fixes every design choice for the study so that the three members implement against one specification.</w:t>
      </w:r>
    </w:p>
    <w:p>
      <w:pPr>
        <w:spacing w:after="120" w:line="276"/>
        <w:jc w:val="both"/>
      </w:pPr>
      <w:r>
        <w:rPr>
          <w:rFonts w:ascii="Times New Roman" w:cs="Times New Roman" w:eastAsia="Times New Roman" w:hAnsi="Times New Roman"/>
          <w:sz w:val="21"/>
          <w:szCs w:val="21"/>
        </w:rPr>
        <w:t xml:space="preserve">Status against the synopsis work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3"/>
        <w:gridCol w:w="4422"/>
        <w:gridCol w:w="1133"/>
        <w:gridCol w:w="3630"/>
      </w:tblGrid>
      <w:tr>
        <w:trPr>
          <w:cantSplit/>
          <w:tblHeader/>
        </w:trPr>
        <w:tc>
          <w:tcPr>
            <w:tcW w:type="dxa" w:w="453"/>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w:t>
            </w:r>
          </w:p>
        </w:tc>
        <w:tc>
          <w:tcPr>
            <w:tcW w:type="dxa" w:w="4422"/>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Milestone (from synopsis)</w:t>
            </w:r>
          </w:p>
        </w:tc>
        <w:tc>
          <w:tcPr>
            <w:tcW w:type="dxa" w:w="1133"/>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Planned</w:t>
            </w:r>
          </w:p>
        </w:tc>
        <w:tc>
          <w:tcPr>
            <w:tcW w:type="dxa" w:w="3630"/>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Status at interim</w:t>
            </w:r>
          </w:p>
        </w:tc>
      </w:tr>
      <w:tr>
        <w:trPr>
          <w:cantSplit/>
          <w:tblHeader w:val="false"/>
        </w:trPr>
        <w:tc>
          <w:tcPr>
            <w:tcW w:type="dxa" w:w="45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w:t>
            </w:r>
          </w:p>
        </w:tc>
        <w:tc>
          <w:tcPr>
            <w:tcW w:type="dxa" w:w="442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Dataset acquisition, EDA, shared log-mel pipeline</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05 Sep</w:t>
            </w:r>
          </w:p>
        </w:tc>
        <w:tc>
          <w:tcPr>
            <w:tcW w:type="dxa" w:w="363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Pipeline specified (Section 3)</w:t>
            </w:r>
          </w:p>
        </w:tc>
      </w:tr>
      <w:tr>
        <w:trPr>
          <w:cantSplit/>
          <w:tblHeader w:val="false"/>
        </w:trPr>
        <w:tc>
          <w:tcPr>
            <w:tcW w:type="dxa" w:w="45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w:t>
            </w:r>
          </w:p>
        </w:tc>
        <w:tc>
          <w:tcPr>
            <w:tcW w:type="dxa" w:w="442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CNN baseline + mobile-native variant</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18 Sep</w:t>
            </w:r>
          </w:p>
        </w:tc>
        <w:tc>
          <w:tcPr>
            <w:tcW w:type="dxa" w:w="363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Design frozen (Section 4.2); preliminary results in Section 4.5</w:t>
            </w:r>
          </w:p>
        </w:tc>
      </w:tr>
      <w:tr>
        <w:trPr>
          <w:cantSplit/>
          <w:tblHeader w:val="false"/>
        </w:trPr>
        <w:tc>
          <w:tcPr>
            <w:tcW w:type="dxa" w:w="45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3</w:t>
            </w:r>
          </w:p>
        </w:tc>
        <w:tc>
          <w:tcPr>
            <w:tcW w:type="dxa" w:w="442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CRNN (CNN + BiLSTM/GRU)</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22 Sep</w:t>
            </w:r>
          </w:p>
        </w:tc>
        <w:tc>
          <w:tcPr>
            <w:tcW w:type="dxa" w:w="363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Design frozen (Section 4.3); preliminary results in Section 4.5</w:t>
            </w:r>
          </w:p>
        </w:tc>
      </w:tr>
      <w:tr>
        <w:trPr>
          <w:cantSplit/>
          <w:tblHeader w:val="false"/>
        </w:trPr>
        <w:tc>
          <w:tcPr>
            <w:tcW w:type="dxa" w:w="45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4</w:t>
            </w:r>
          </w:p>
        </w:tc>
        <w:tc>
          <w:tcPr>
            <w:tcW w:type="dxa" w:w="442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Interim submission</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25 Sep</w:t>
            </w:r>
          </w:p>
        </w:tc>
        <w:tc>
          <w:tcPr>
            <w:tcW w:type="dxa" w:w="363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This document</w:t>
            </w:r>
          </w:p>
        </w:tc>
      </w:tr>
      <w:tr>
        <w:trPr>
          <w:cantSplit/>
          <w:tblHeader w:val="false"/>
        </w:trPr>
        <w:tc>
          <w:tcPr>
            <w:tcW w:type="dxa" w:w="45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5</w:t>
            </w:r>
          </w:p>
        </w:tc>
        <w:tc>
          <w:tcPr>
            <w:tcW w:type="dxa" w:w="442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AST fine-tuning</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12 Oct</w:t>
            </w:r>
          </w:p>
        </w:tc>
        <w:tc>
          <w:tcPr>
            <w:tcW w:type="dxa" w:w="363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Design frozen (Section 4.4); starts after models 1–2</w:t>
            </w:r>
          </w:p>
        </w:tc>
      </w:tr>
      <w:tr>
        <w:trPr>
          <w:cantSplit/>
          <w:tblHeader w:val="false"/>
        </w:trPr>
        <w:tc>
          <w:tcPr>
            <w:tcW w:type="dxa" w:w="45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6</w:t>
            </w:r>
          </w:p>
        </w:tc>
        <w:tc>
          <w:tcPr>
            <w:tcW w:type="dxa" w:w="442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Compression + latency/size benchmarking</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20 Oct</w:t>
            </w:r>
          </w:p>
        </w:tc>
        <w:tc>
          <w:tcPr>
            <w:tcW w:type="dxa" w:w="363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Protocol frozen (Section 4.6)</w:t>
            </w:r>
          </w:p>
        </w:tc>
      </w:tr>
      <w:tr>
        <w:trPr>
          <w:cantSplit/>
          <w:tblHeader w:val="false"/>
        </w:trPr>
        <w:tc>
          <w:tcPr>
            <w:tcW w:type="dxa" w:w="45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7</w:t>
            </w:r>
          </w:p>
        </w:tc>
        <w:tc>
          <w:tcPr>
            <w:tcW w:type="dxa" w:w="442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Comparison, error analysis, final report</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29 Oct</w:t>
            </w:r>
          </w:p>
        </w:tc>
        <w:tc>
          <w:tcPr>
            <w:tcW w:type="dxa" w:w="363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Pending (Section 6)</w:t>
            </w:r>
          </w:p>
        </w:tc>
      </w:tr>
    </w:tbl>
    <w:p>
      <w:pPr>
        <w:pStyle w:val="Heading1"/>
        <w:spacing w:after="120" w:before="240"/>
      </w:pPr>
      <w:r>
        <w:rPr>
          <w:rFonts w:ascii="Times New Roman" w:cs="Times New Roman" w:eastAsia="Times New Roman" w:hAnsi="Times New Roman"/>
          <w:b/>
          <w:bCs/>
          <w:color w:val="1F3A5F"/>
          <w:sz w:val="28"/>
          <w:szCs w:val="28"/>
        </w:rPr>
        <w:t xml:space="preserve">2. Literature Review</w:t>
      </w:r>
    </w:p>
    <w:p>
      <w:pPr>
        <w:spacing w:after="120" w:line="276"/>
        <w:jc w:val="both"/>
      </w:pPr>
      <w:r>
        <w:rPr>
          <w:rFonts w:ascii="Times New Roman" w:cs="Times New Roman" w:eastAsia="Times New Roman" w:hAnsi="Times New Roman"/>
          <w:sz w:val="21"/>
          <w:szCs w:val="21"/>
        </w:rPr>
        <w:t xml:space="preserve">The table below summarises ten papers that frame the project: the dataset and its evaluation protocol, the CNN and CRNN lines of work, the attention-based model, the efficiency toolkit, and training techniques that we reuse. The final column states how each paper bears on our design, so the table compares the work rather than merely listing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
        <w:gridCol w:w="2154"/>
        <w:gridCol w:w="1927"/>
        <w:gridCol w:w="1247"/>
        <w:gridCol w:w="1927"/>
        <w:gridCol w:w="1987"/>
      </w:tblGrid>
      <w:tr>
        <w:trPr>
          <w:cantSplit/>
          <w:tblHeader/>
        </w:trPr>
        <w:tc>
          <w:tcPr>
            <w:tcW w:type="dxa" w:w="396"/>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w:t>
            </w:r>
          </w:p>
        </w:tc>
        <w:tc>
          <w:tcPr>
            <w:tcW w:type="dxa" w:w="2154"/>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Paper</w:t>
            </w:r>
          </w:p>
        </w:tc>
        <w:tc>
          <w:tcPr>
            <w:tcW w:type="dxa" w:w="192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Method</w:t>
            </w:r>
          </w:p>
        </w:tc>
        <w:tc>
          <w:tcPr>
            <w:tcW w:type="dxa" w:w="124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Dataset</w:t>
            </w:r>
          </w:p>
        </w:tc>
        <w:tc>
          <w:tcPr>
            <w:tcW w:type="dxa" w:w="192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Key result</w:t>
            </w:r>
          </w:p>
        </w:tc>
        <w:tc>
          <w:tcPr>
            <w:tcW w:type="dxa" w:w="198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Relevance to this project</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Salamon, Jacoby &amp; Bello (2014), </w:t>
            </w:r>
            <w:r>
              <w:rPr>
                <w:rFonts w:ascii="Times New Roman" w:cs="Times New Roman" w:eastAsia="Times New Roman" w:hAnsi="Times New Roman"/>
                <w:b w:val="false"/>
                <w:bCs w:val="false"/>
                <w:i/>
                <w:iCs/>
                <w:sz w:val="16"/>
                <w:szCs w:val="16"/>
              </w:rPr>
              <w:t xml:space="preserve">A Dataset and Taxonomy for Urban Sound Research</w:t>
            </w:r>
            <w:r>
              <w:rPr>
                <w:rFonts w:ascii="Times New Roman" w:cs="Times New Roman" w:eastAsia="Times New Roman" w:hAnsi="Times New Roman"/>
                <w:b w:val="false"/>
                <w:bCs w:val="false"/>
                <w:sz w:val="16"/>
                <w:szCs w:val="16"/>
              </w:rPr>
              <w:t xml:space="preserve">, ACM-MM</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Introduces an urban-sound taxonomy and the UrbanSound8K corpus with 10 pre-sorted folds</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UrbanSound8K (8,732 clips)</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Establishes the 10-fold protocol that prevents leakage between clips from the same source recording</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Our dataset and evaluation protocol; folds are never re-split so all models are comparable</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Piczak (2015), </w:t>
            </w:r>
            <w:r>
              <w:rPr>
                <w:rFonts w:ascii="Times New Roman" w:cs="Times New Roman" w:eastAsia="Times New Roman" w:hAnsi="Times New Roman"/>
                <w:b w:val="false"/>
                <w:bCs w:val="false"/>
                <w:i/>
                <w:iCs/>
                <w:sz w:val="16"/>
                <w:szCs w:val="16"/>
              </w:rPr>
              <w:t xml:space="preserve">Environmental Sound Classification with CNNs</w:t>
            </w:r>
            <w:r>
              <w:rPr>
                <w:rFonts w:ascii="Times New Roman" w:cs="Times New Roman" w:eastAsia="Times New Roman" w:hAnsi="Times New Roman"/>
                <w:b w:val="false"/>
                <w:bCs w:val="false"/>
                <w:sz w:val="16"/>
                <w:szCs w:val="16"/>
              </w:rPr>
              <w:t xml:space="preserve">, MLSP</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Shallow CNN on log-mel spectrogram segments (with delta channel), averaged over segments</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ESC-50, ESC-10, UrbanSound8K</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About 73% on UrbanSound8K (as reported in later comparisons); beat MFCC-based baselines</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Origin of the CNN-on-log-mel recipe; our CNN baseline is a modern descendant</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3</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Salamon &amp; Bello (2017), </w:t>
            </w:r>
            <w:r>
              <w:rPr>
                <w:rFonts w:ascii="Times New Roman" w:cs="Times New Roman" w:eastAsia="Times New Roman" w:hAnsi="Times New Roman"/>
                <w:b w:val="false"/>
                <w:bCs w:val="false"/>
                <w:i/>
                <w:iCs/>
                <w:sz w:val="16"/>
                <w:szCs w:val="16"/>
              </w:rPr>
              <w:t xml:space="preserve">Deep CNNs and Data Augmentation for Environmental Sound Classification</w:t>
            </w:r>
            <w:r>
              <w:rPr>
                <w:rFonts w:ascii="Times New Roman" w:cs="Times New Roman" w:eastAsia="Times New Roman" w:hAnsi="Times New Roman"/>
                <w:b w:val="false"/>
                <w:bCs w:val="false"/>
                <w:sz w:val="16"/>
                <w:szCs w:val="16"/>
              </w:rPr>
              <w:t xml:space="preserve">, IEEE SPL</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SB-CNN: three conv layers with small kernels; time-stretch, pitch-shift, DRC and noise augmentation</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UrbanSound8K</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About 79% with augmentation, above the same CNN without augmentation and a dictionary-learning baseline</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Reference CNN accuracy on this exact benchmark; motivates our augmentation choices</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4</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Çakır et al. (2017), </w:t>
            </w:r>
            <w:r>
              <w:rPr>
                <w:rFonts w:ascii="Times New Roman" w:cs="Times New Roman" w:eastAsia="Times New Roman" w:hAnsi="Times New Roman"/>
                <w:b w:val="false"/>
                <w:bCs w:val="false"/>
                <w:i/>
                <w:iCs/>
                <w:sz w:val="16"/>
                <w:szCs w:val="16"/>
              </w:rPr>
              <w:t xml:space="preserve">CRNNs for Polyphonic Sound Event Detection</w:t>
            </w:r>
            <w:r>
              <w:rPr>
                <w:rFonts w:ascii="Times New Roman" w:cs="Times New Roman" w:eastAsia="Times New Roman" w:hAnsi="Times New Roman"/>
                <w:b w:val="false"/>
                <w:bCs w:val="false"/>
                <w:sz w:val="16"/>
                <w:szCs w:val="16"/>
              </w:rPr>
              <w:t xml:space="preserve">, IEEE/ACM TASLP</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Conv layers for local spectro-temporal features, then recurrent layers for temporal context</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TUT-SED Synthetic 2016, TUT-SED 2009, CHiME-Home</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CRNN outperformed CNN-only and RNN-only baselines on the evaluated SED sets</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Template for our CRNN (CNN extractor + BiGRU)</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5</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Gong, Chung &amp; Glass (2021), </w:t>
            </w:r>
            <w:r>
              <w:rPr>
                <w:rFonts w:ascii="Times New Roman" w:cs="Times New Roman" w:eastAsia="Times New Roman" w:hAnsi="Times New Roman"/>
                <w:b w:val="false"/>
                <w:bCs w:val="false"/>
                <w:i/>
                <w:iCs/>
                <w:sz w:val="16"/>
                <w:szCs w:val="16"/>
              </w:rPr>
              <w:t xml:space="preserve">AST: Audio Spectrogram Transformer</w:t>
            </w:r>
            <w:r>
              <w:rPr>
                <w:rFonts w:ascii="Times New Roman" w:cs="Times New Roman" w:eastAsia="Times New Roman" w:hAnsi="Times New Roman"/>
                <w:b w:val="false"/>
                <w:bCs w:val="false"/>
                <w:sz w:val="16"/>
                <w:szCs w:val="16"/>
              </w:rPr>
              <w:t xml:space="preserve">, Interspeech</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Convolution-free ViT-style model; spectrogram split into patches, ImageNet-pretrained weights adapted to audio</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AudioSet, ESC-50, Speech Commands V2</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0.485 mAP (ensemble) on AudioSet, 95.6% on ESC-50, 98.1% on Speech Commands V2</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Model 3 of our study; shows the accuracy ceiling that we then weigh against its size and latency</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6</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Howard et al. (2019), </w:t>
            </w:r>
            <w:r>
              <w:rPr>
                <w:rFonts w:ascii="Times New Roman" w:cs="Times New Roman" w:eastAsia="Times New Roman" w:hAnsi="Times New Roman"/>
                <w:b w:val="false"/>
                <w:bCs w:val="false"/>
                <w:i/>
                <w:iCs/>
                <w:sz w:val="16"/>
                <w:szCs w:val="16"/>
              </w:rPr>
              <w:t xml:space="preserve">Searching for MobileNetV3</w:t>
            </w:r>
            <w:r>
              <w:rPr>
                <w:rFonts w:ascii="Times New Roman" w:cs="Times New Roman" w:eastAsia="Times New Roman" w:hAnsi="Times New Roman"/>
                <w:b w:val="false"/>
                <w:bCs w:val="false"/>
                <w:sz w:val="16"/>
                <w:szCs w:val="16"/>
              </w:rPr>
              <w:t xml:space="preserve">, ICCV</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Hardware-aware NAS plus NetAdapt, h-swish and squeeze-excite blocks</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ImageNet, COCO, Cityscapes</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MobileNetV3-Large is 3.2% more accurate than MobileNetV2 on ImageNet with 20% lower latency</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Backbone of our mobile-native CNN variant (the 'efficient by design' point)</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7</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Jacob et al. (2018), </w:t>
            </w:r>
            <w:r>
              <w:rPr>
                <w:rFonts w:ascii="Times New Roman" w:cs="Times New Roman" w:eastAsia="Times New Roman" w:hAnsi="Times New Roman"/>
                <w:b w:val="false"/>
                <w:bCs w:val="false"/>
                <w:i/>
                <w:iCs/>
                <w:sz w:val="16"/>
                <w:szCs w:val="16"/>
              </w:rPr>
              <w:t xml:space="preserve">Quantization and Training of NNs for Efficient Integer-Arithmetic-Only Inference</w:t>
            </w:r>
            <w:r>
              <w:rPr>
                <w:rFonts w:ascii="Times New Roman" w:cs="Times New Roman" w:eastAsia="Times New Roman" w:hAnsi="Times New Roman"/>
                <w:b w:val="false"/>
                <w:bCs w:val="false"/>
                <w:sz w:val="16"/>
                <w:szCs w:val="16"/>
              </w:rPr>
              <w:t xml:space="preserve">, CVPR</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8-bit integer quantization of weights and activations with a quantization-aware training scheme</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ImageNet, COCO (MobileNets on ARM CPUs)</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Improved accuracy–latency trade-off over float models on mobile CPUs</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Basis of our post-training quantization experiments</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8</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Kong et al. (2020), </w:t>
            </w:r>
            <w:r>
              <w:rPr>
                <w:rFonts w:ascii="Times New Roman" w:cs="Times New Roman" w:eastAsia="Times New Roman" w:hAnsi="Times New Roman"/>
                <w:b w:val="false"/>
                <w:bCs w:val="false"/>
                <w:i/>
                <w:iCs/>
                <w:sz w:val="16"/>
                <w:szCs w:val="16"/>
              </w:rPr>
              <w:t xml:space="preserve">PANNs: Large-Scale Pretrained Audio Neural Networks for Audio Pattern Recognition</w:t>
            </w:r>
            <w:r>
              <w:rPr>
                <w:rFonts w:ascii="Times New Roman" w:cs="Times New Roman" w:eastAsia="Times New Roman" w:hAnsi="Times New Roman"/>
                <w:b w:val="false"/>
                <w:bCs w:val="false"/>
                <w:sz w:val="16"/>
                <w:szCs w:val="16"/>
              </w:rPr>
              <w:t xml:space="preserve">, IEEE/ACM TASLP</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CNN14 and related CNN families pretrained on AudioSet, transferred to downstream tasks</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AudioSet; transfer to ESC-50 and others</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0.439 mAP on AudioSet at publication; pretrained CNNs transfer strongly to small datasets</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Evidence that pretraining matters for CNNs too, so a fair CNN-vs-AST comparison must account for it</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9</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Park et al. (2019), </w:t>
            </w:r>
            <w:r>
              <w:rPr>
                <w:rFonts w:ascii="Times New Roman" w:cs="Times New Roman" w:eastAsia="Times New Roman" w:hAnsi="Times New Roman"/>
                <w:b w:val="false"/>
                <w:bCs w:val="false"/>
                <w:i/>
                <w:iCs/>
                <w:sz w:val="16"/>
                <w:szCs w:val="16"/>
              </w:rPr>
              <w:t xml:space="preserve">SpecAugment</w:t>
            </w:r>
            <w:r>
              <w:rPr>
                <w:rFonts w:ascii="Times New Roman" w:cs="Times New Roman" w:eastAsia="Times New Roman" w:hAnsi="Times New Roman"/>
                <w:b w:val="false"/>
                <w:bCs w:val="false"/>
                <w:sz w:val="16"/>
                <w:szCs w:val="16"/>
              </w:rPr>
              <w:t xml:space="preserve">, Interspeech</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Time warping, frequency masking and time masking applied directly on the spectrogram</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LibriSpeech, Switchboard</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State-of-the-art ASR results at publication from augmentation alone</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Cheap spectrogram-level augmentation we apply identically to all models</w:t>
            </w:r>
          </w:p>
        </w:tc>
      </w:tr>
      <w:tr>
        <w:trPr>
          <w:cantSplit/>
          <w:tblHeader w:val="false"/>
        </w:trPr>
        <w:tc>
          <w:tcPr>
            <w:tcW w:type="dxa" w:w="396"/>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10</w:t>
            </w:r>
          </w:p>
        </w:tc>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Han, Mao &amp; Dally (2016), </w:t>
            </w:r>
            <w:r>
              <w:rPr>
                <w:rFonts w:ascii="Times New Roman" w:cs="Times New Roman" w:eastAsia="Times New Roman" w:hAnsi="Times New Roman"/>
                <w:b w:val="false"/>
                <w:bCs w:val="false"/>
                <w:i/>
                <w:iCs/>
                <w:sz w:val="16"/>
                <w:szCs w:val="16"/>
              </w:rPr>
              <w:t xml:space="preserve">Deep Compression</w:t>
            </w:r>
            <w:r>
              <w:rPr>
                <w:rFonts w:ascii="Times New Roman" w:cs="Times New Roman" w:eastAsia="Times New Roman" w:hAnsi="Times New Roman"/>
                <w:b w:val="false"/>
                <w:bCs w:val="false"/>
                <w:sz w:val="16"/>
                <w:szCs w:val="16"/>
              </w:rPr>
              <w:t xml:space="preserve">, ICLR</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Magnitude pruning, weight quantization and Huffman coding pipeline</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ImageNet (AlexNet, VGG-16), MNIST</w:t>
            </w:r>
          </w:p>
        </w:tc>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35x (AlexNet) and 49x (VGG-16) size reduction without accuracy loss</w:t>
            </w:r>
          </w:p>
        </w:tc>
        <w:tc>
          <w:tcPr>
            <w:tcW w:type="dxa" w:w="19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Basis of our pruning experiments; also shows why size and latency must be measured separately</w:t>
            </w:r>
          </w:p>
        </w:tc>
      </w:tr>
    </w:tbl>
    <w:p>
      <w:pPr>
        <w:spacing w:after="80"/>
      </w:pPr>
    </w:p>
    <w:p>
      <w:pPr>
        <w:spacing w:after="120" w:line="276"/>
        <w:jc w:val="both"/>
      </w:pPr>
      <w:r>
        <w:rPr>
          <w:rFonts w:ascii="Times New Roman" w:cs="Times New Roman" w:eastAsia="Times New Roman" w:hAnsi="Times New Roman"/>
          <w:b/>
          <w:bCs/>
          <w:sz w:val="21"/>
          <w:szCs w:val="21"/>
        </w:rPr>
        <w:t xml:space="preserve">Synthesis.</w:t>
      </w:r>
      <w:r>
        <w:rPr>
          <w:rFonts w:ascii="Times New Roman" w:cs="Times New Roman" w:eastAsia="Times New Roman" w:hAnsi="Times New Roman"/>
          <w:sz w:val="21"/>
          <w:szCs w:val="21"/>
        </w:rPr>
        <w:t xml:space="preserve"> Papers 1–3 fix the benchmark and the CNN reference point (roughly 73–79% on UrbanSound8K). Paper 4 supports adding recurrence for temporal structure, although the polyphonic setting there differs from our single-label clips. Papers 5 and 8 show that pretrained models dominate accuracy, so the AST-versus-CNN comparison must separate the effect of architecture from the effect of pretraining; we therefore include a from-scratch and a pretrained run of the mobile-native CNN (Section 4.2) and report the pretraining status of every model. Papers 6, 7 and 10 supply the efficiency axis, and paper 9 supplies a shared augmentation. The gap we address is that these works report accuracy and efficiency separately, on different datasets; we measure both on one benchmark under one protocol.</w:t>
      </w:r>
    </w:p>
    <w:p>
      <w:pPr>
        <w:pStyle w:val="Heading1"/>
        <w:spacing w:after="120" w:before="240"/>
      </w:pPr>
      <w:r>
        <w:rPr>
          <w:rFonts w:ascii="Times New Roman" w:cs="Times New Roman" w:eastAsia="Times New Roman" w:hAnsi="Times New Roman"/>
          <w:b/>
          <w:bCs/>
          <w:color w:val="1F3A5F"/>
          <w:sz w:val="28"/>
          <w:szCs w:val="28"/>
        </w:rPr>
        <w:t xml:space="preserve">3. Dataset Acquisition and Preprocessing Pipeline</w:t>
      </w:r>
    </w:p>
    <w:p>
      <w:pPr>
        <w:spacing w:after="120" w:line="276"/>
        <w:jc w:val="both"/>
      </w:pPr>
      <w:r>
        <w:rPr>
          <w:rFonts w:ascii="Times New Roman" w:cs="Times New Roman" w:eastAsia="Times New Roman" w:hAnsi="Times New Roman"/>
          <w:b/>
          <w:bCs/>
          <w:sz w:val="21"/>
          <w:szCs w:val="21"/>
        </w:rPr>
        <w:t xml:space="preserve">Dataset.</w:t>
      </w:r>
      <w:r>
        <w:rPr>
          <w:rFonts w:ascii="Times New Roman" w:cs="Times New Roman" w:eastAsia="Times New Roman" w:hAnsi="Times New Roman"/>
          <w:sz w:val="21"/>
          <w:szCs w:val="21"/>
        </w:rPr>
        <w:t xml:space="preserve"> UrbanSound8K is obtained from the dataset authors (NYU). It contains 8,732 labelled WAV excerpts of at most 4 s in ten classes. The metadata file gives class, fold, salience and source ID for each clip. The class distribution is imbalanced: gun shot (374 clips), car horn (429) and siren (929) are smaller than the seven classes with 1,000 clips each. This is why macro-F1 is reported alongside accuracy. Most clips are exactly 4 s; shorter clips are zero-padded.</w:t>
      </w:r>
    </w:p>
    <w:p>
      <w:pPr>
        <w:spacing w:after="120" w:line="276"/>
        <w:jc w:val="both"/>
      </w:pPr>
      <w:r>
        <w:rPr>
          <w:rFonts w:ascii="Times New Roman" w:cs="Times New Roman" w:eastAsia="Times New Roman" w:hAnsi="Times New Roman"/>
          <w:b/>
          <w:bCs/>
          <w:sz w:val="21"/>
          <w:szCs w:val="21"/>
        </w:rPr>
        <w:t xml:space="preserve">Pipeline (applied identically to every model).</w:t>
      </w:r>
    </w:p>
    <w:p>
      <w:pPr>
        <w:pStyle w:val="ListParagraph"/>
        <w:numPr>
          <w:ilvl w:val="0"/>
          <w:numId w:val="2"/>
        </w:numPr>
        <w:spacing w:after="60" w:line="276"/>
        <w:jc w:val="both"/>
      </w:pPr>
      <w:r>
        <w:rPr>
          <w:rFonts w:ascii="Times New Roman" w:cs="Times New Roman" w:eastAsia="Times New Roman" w:hAnsi="Times New Roman"/>
          <w:sz w:val="21"/>
          <w:szCs w:val="21"/>
        </w:rPr>
        <w:t xml:space="preserve">Load each clip as mono and resample to </w:t>
      </w:r>
      <w:r>
        <w:rPr>
          <w:rFonts w:ascii="Times New Roman" w:cs="Times New Roman" w:eastAsia="Times New Roman" w:hAnsi="Times New Roman"/>
          <w:b/>
          <w:bCs/>
          <w:sz w:val="21"/>
          <w:szCs w:val="21"/>
        </w:rPr>
        <w:t xml:space="preserve">16 kHz</w:t>
      </w:r>
      <w:r>
        <w:rPr>
          <w:rFonts w:ascii="Times New Roman" w:cs="Times New Roman" w:eastAsia="Times New Roman" w:hAnsi="Times New Roman"/>
          <w:sz w:val="21"/>
          <w:szCs w:val="21"/>
        </w:rPr>
        <w:t xml:space="preserve">. 16 kHz is chosen because the pretrained AST checkpoint expects it, so one resampled copy of the corpus serves all three models.</w:t>
      </w:r>
    </w:p>
    <w:p>
      <w:pPr>
        <w:pStyle w:val="ListParagraph"/>
        <w:numPr>
          <w:ilvl w:val="0"/>
          <w:numId w:val="2"/>
        </w:numPr>
        <w:spacing w:after="60" w:line="276"/>
        <w:jc w:val="both"/>
      </w:pPr>
      <w:r>
        <w:rPr>
          <w:rFonts w:ascii="Times New Roman" w:cs="Times New Roman" w:eastAsia="Times New Roman" w:hAnsi="Times New Roman"/>
          <w:sz w:val="21"/>
          <w:szCs w:val="21"/>
        </w:rPr>
        <w:t xml:space="preserve">Zero-pad or crop to a fixed </w:t>
      </w:r>
      <w:r>
        <w:rPr>
          <w:rFonts w:ascii="Times New Roman" w:cs="Times New Roman" w:eastAsia="Times New Roman" w:hAnsi="Times New Roman"/>
          <w:b/>
          <w:bCs/>
          <w:sz w:val="21"/>
          <w:szCs w:val="21"/>
        </w:rPr>
        <w:t xml:space="preserve">4.0 s</w:t>
      </w:r>
      <w:r>
        <w:rPr>
          <w:rFonts w:ascii="Times New Roman" w:cs="Times New Roman" w:eastAsia="Times New Roman" w:hAnsi="Times New Roman"/>
          <w:sz w:val="21"/>
          <w:szCs w:val="21"/>
        </w:rPr>
        <w:t xml:space="preserve"> window (64,000 samples).</w:t>
      </w:r>
    </w:p>
    <w:p>
      <w:pPr>
        <w:pStyle w:val="ListParagraph"/>
        <w:numPr>
          <w:ilvl w:val="0"/>
          <w:numId w:val="2"/>
        </w:numPr>
        <w:spacing w:after="60" w:line="276"/>
        <w:jc w:val="both"/>
      </w:pPr>
      <w:r>
        <w:rPr>
          <w:rFonts w:ascii="Times New Roman" w:cs="Times New Roman" w:eastAsia="Times New Roman" w:hAnsi="Times New Roman"/>
          <w:b/>
          <w:bCs/>
          <w:sz w:val="21"/>
          <w:szCs w:val="21"/>
        </w:rPr>
        <w:t xml:space="preserve">CNN and CRNN input:</w:t>
      </w:r>
      <w:r>
        <w:rPr>
          <w:rFonts w:ascii="Times New Roman" w:cs="Times New Roman" w:eastAsia="Times New Roman" w:hAnsi="Times New Roman"/>
          <w:sz w:val="21"/>
          <w:szCs w:val="21"/>
        </w:rPr>
        <w:t xml:space="preserve"> log-mel spectrogram (power to dB) with 128 mel bands, FFT size 1024, hop 320 samples (20 ms), 20–8000 Hz, giving a 128 x 201 (mel x frames) input.</w:t>
      </w:r>
    </w:p>
    <w:p>
      <w:pPr>
        <w:pStyle w:val="ListParagraph"/>
        <w:numPr>
          <w:ilvl w:val="0"/>
          <w:numId w:val="2"/>
        </w:numPr>
        <w:spacing w:after="60" w:line="276"/>
        <w:jc w:val="both"/>
      </w:pPr>
      <w:r>
        <w:rPr>
          <w:rFonts w:ascii="Times New Roman" w:cs="Times New Roman" w:eastAsia="Times New Roman" w:hAnsi="Times New Roman"/>
          <w:b/>
          <w:bCs/>
          <w:sz w:val="21"/>
          <w:szCs w:val="21"/>
        </w:rPr>
        <w:t xml:space="preserve">AST input:</w:t>
      </w:r>
      <w:r>
        <w:rPr>
          <w:rFonts w:ascii="Times New Roman" w:cs="Times New Roman" w:eastAsia="Times New Roman" w:hAnsi="Times New Roman"/>
          <w:sz w:val="21"/>
          <w:szCs w:val="21"/>
        </w:rPr>
        <w:t xml:space="preserve"> the standard AST filter-bank front-end (128 mel bins, 10 ms shift, 400 frames for 4 s) computed from the same 16 kHz waveforms, as required by the pretrained checkpoint. This is the one place the front-end differs and it is reported as such.</w:t>
      </w:r>
    </w:p>
    <w:p>
      <w:pPr>
        <w:pStyle w:val="ListParagraph"/>
        <w:numPr>
          <w:ilvl w:val="0"/>
          <w:numId w:val="2"/>
        </w:numPr>
        <w:spacing w:after="60" w:line="276"/>
        <w:jc w:val="both"/>
      </w:pPr>
      <w:r>
        <w:rPr>
          <w:rFonts w:ascii="Times New Roman" w:cs="Times New Roman" w:eastAsia="Times New Roman" w:hAnsi="Times New Roman"/>
          <w:b/>
          <w:bCs/>
          <w:sz w:val="21"/>
          <w:szCs w:val="21"/>
        </w:rPr>
        <w:t xml:space="preserve">Normalisation:</w:t>
      </w:r>
      <w:r>
        <w:rPr>
          <w:rFonts w:ascii="Times New Roman" w:cs="Times New Roman" w:eastAsia="Times New Roman" w:hAnsi="Times New Roman"/>
          <w:sz w:val="21"/>
          <w:szCs w:val="21"/>
        </w:rPr>
        <w:t xml:space="preserve"> mean and standard deviation computed on the training folds only, in each cross-validation round, to prevent leakage. AST uses the checkpoint's own normalisation constants.</w:t>
      </w:r>
    </w:p>
    <w:p>
      <w:pPr>
        <w:pStyle w:val="ListParagraph"/>
        <w:numPr>
          <w:ilvl w:val="0"/>
          <w:numId w:val="2"/>
        </w:numPr>
        <w:spacing w:after="60" w:line="276"/>
        <w:jc w:val="both"/>
      </w:pPr>
      <w:r>
        <w:rPr>
          <w:rFonts w:ascii="Times New Roman" w:cs="Times New Roman" w:eastAsia="Times New Roman" w:hAnsi="Times New Roman"/>
          <w:b/>
          <w:bCs/>
          <w:sz w:val="21"/>
          <w:szCs w:val="21"/>
        </w:rPr>
        <w:t xml:space="preserve">Augmentation (training batches only):</w:t>
      </w:r>
      <w:r>
        <w:rPr>
          <w:rFonts w:ascii="Times New Roman" w:cs="Times New Roman" w:eastAsia="Times New Roman" w:hAnsi="Times New Roman"/>
          <w:sz w:val="21"/>
          <w:szCs w:val="21"/>
        </w:rPr>
        <w:t xml:space="preserve"> SpecAugment-style masking, two frequency masks of up to 16 bins and two time masks of up to 20 frames. No waveform-level augmentation in the main comparison, so every model sees the same augmentation. Waveform augmentation (time-stretch, pitch-shift) is kept as an optional ablation only.</w:t>
      </w:r>
    </w:p>
    <w:p>
      <w:pPr>
        <w:pStyle w:val="ListParagraph"/>
        <w:numPr>
          <w:ilvl w:val="0"/>
          <w:numId w:val="2"/>
        </w:numPr>
        <w:spacing w:after="60" w:line="276"/>
        <w:jc w:val="both"/>
      </w:pPr>
      <w:r>
        <w:rPr>
          <w:rFonts w:ascii="Times New Roman" w:cs="Times New Roman" w:eastAsia="Times New Roman" w:hAnsi="Times New Roman"/>
          <w:b/>
          <w:bCs/>
          <w:sz w:val="21"/>
          <w:szCs w:val="21"/>
        </w:rPr>
        <w:t xml:space="preserve">Caching:</w:t>
      </w:r>
      <w:r>
        <w:rPr>
          <w:rFonts w:ascii="Times New Roman" w:cs="Times New Roman" w:eastAsia="Times New Roman" w:hAnsi="Times New Roman"/>
          <w:sz w:val="21"/>
          <w:szCs w:val="21"/>
        </w:rPr>
        <w:t xml:space="preserve"> the 16 kHz padded waveforms and the log-mel features are stored on disk once and shared by all members, so every model trains from identical inputs.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8"/>
        <w:gridCol w:w="6690"/>
      </w:tblGrid>
      <w:tr>
        <w:trPr>
          <w:cantSplit/>
          <w:tblHeader/>
        </w:trPr>
        <w:tc>
          <w:tcPr>
            <w:tcW w:type="dxa" w:w="2948"/>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Parameter</w:t>
            </w:r>
          </w:p>
        </w:tc>
        <w:tc>
          <w:tcPr>
            <w:tcW w:type="dxa" w:w="6690"/>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Decision</w:t>
            </w:r>
          </w:p>
        </w:tc>
      </w:tr>
      <w:tr>
        <w:trPr>
          <w:cantSplit/>
          <w:tblHeader w:val="false"/>
        </w:trPr>
        <w:tc>
          <w:tcPr>
            <w:tcW w:type="dxa" w:w="294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Sample rate / clip length</w:t>
            </w:r>
          </w:p>
        </w:tc>
        <w:tc>
          <w:tcPr>
            <w:tcW w:type="dxa" w:w="669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16,000 Hz / 4.0 s (64,000 samples)</w:t>
            </w:r>
          </w:p>
        </w:tc>
      </w:tr>
      <w:tr>
        <w:trPr>
          <w:cantSplit/>
          <w:tblHeader w:val="false"/>
        </w:trPr>
        <w:tc>
          <w:tcPr>
            <w:tcW w:type="dxa" w:w="294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Log-mel (CNN, CRNN, MobileNetV3)</w:t>
            </w:r>
          </w:p>
        </w:tc>
        <w:tc>
          <w:tcPr>
            <w:tcW w:type="dxa" w:w="669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n_fft 1024, hop 320, 128 mels, 20–8000 Hz, output 128 x 201</w:t>
            </w:r>
          </w:p>
        </w:tc>
      </w:tr>
      <w:tr>
        <w:trPr>
          <w:cantSplit/>
          <w:tblHeader w:val="false"/>
        </w:trPr>
        <w:tc>
          <w:tcPr>
            <w:tcW w:type="dxa" w:w="294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AST front-end</w:t>
            </w:r>
          </w:p>
        </w:tc>
        <w:tc>
          <w:tcPr>
            <w:tcW w:type="dxa" w:w="669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128-bin filter bank, 10 ms shift, 400 frames</w:t>
            </w:r>
          </w:p>
        </w:tc>
      </w:tr>
      <w:tr>
        <w:trPr>
          <w:cantSplit/>
          <w:tblHeader w:val="false"/>
        </w:trPr>
        <w:tc>
          <w:tcPr>
            <w:tcW w:type="dxa" w:w="294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Split per round k</w:t>
            </w:r>
          </w:p>
        </w:tc>
        <w:tc>
          <w:tcPr>
            <w:tcW w:type="dxa" w:w="669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Test = fold k; validation = fold (k mod 10) + 1; train = remaining 8 folds; k = 1 … 10</w:t>
            </w:r>
          </w:p>
        </w:tc>
      </w:tr>
      <w:tr>
        <w:trPr>
          <w:cantSplit/>
          <w:tblHeader w:val="false"/>
        </w:trPr>
        <w:tc>
          <w:tcPr>
            <w:tcW w:type="dxa" w:w="294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Model selection</w:t>
            </w:r>
          </w:p>
        </w:tc>
        <w:tc>
          <w:tcPr>
            <w:tcW w:type="dxa" w:w="669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Best validation-accuracy epoch; the test fold is touched once per round</w:t>
            </w:r>
          </w:p>
        </w:tc>
      </w:tr>
      <w:tr>
        <w:trPr>
          <w:cantSplit/>
          <w:tblHeader w:val="false"/>
        </w:trPr>
        <w:tc>
          <w:tcPr>
            <w:tcW w:type="dxa" w:w="294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Reported numbers</w:t>
            </w:r>
          </w:p>
        </w:tc>
        <w:tc>
          <w:tcPr>
            <w:tcW w:type="dxa" w:w="669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Mean ± standard deviation over the 10 test folds</w:t>
            </w:r>
          </w:p>
        </w:tc>
      </w:tr>
    </w:tbl>
    <w:p>
      <w:pPr>
        <w:pStyle w:val="Heading1"/>
        <w:spacing w:after="120" w:before="240"/>
      </w:pPr>
      <w:r>
        <w:rPr>
          <w:rFonts w:ascii="Times New Roman" w:cs="Times New Roman" w:eastAsia="Times New Roman" w:hAnsi="Times New Roman"/>
          <w:b/>
          <w:bCs/>
          <w:color w:val="1F3A5F"/>
          <w:sz w:val="28"/>
          <w:szCs w:val="28"/>
        </w:rPr>
        <w:t xml:space="preserve">4. Models, Common Protocol and Preliminary Results</w:t>
      </w:r>
    </w:p>
    <w:p>
      <w:pPr>
        <w:pStyle w:val="Heading2"/>
        <w:spacing w:after="80" w:before="160"/>
      </w:pPr>
      <w:r>
        <w:rPr>
          <w:rFonts w:ascii="Times New Roman" w:cs="Times New Roman" w:eastAsia="Times New Roman" w:hAnsi="Times New Roman"/>
          <w:b/>
          <w:bCs/>
          <w:sz w:val="23"/>
          <w:szCs w:val="23"/>
        </w:rPr>
        <w:t xml:space="preserve">4.1 Common training protocol</w:t>
      </w:r>
    </w:p>
    <w:p>
      <w:pPr>
        <w:spacing w:after="120" w:line="276"/>
        <w:jc w:val="both"/>
      </w:pPr>
      <w:r>
        <w:rPr>
          <w:rFonts w:ascii="Times New Roman" w:cs="Times New Roman" w:eastAsia="Times New Roman" w:hAnsi="Times New Roman"/>
          <w:sz w:val="21"/>
          <w:szCs w:val="21"/>
        </w:rPr>
        <w:t xml:space="preserve">The following settings are fixed for every model unless Section 4.2–4.4 states otherwise: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7371"/>
      </w:tblGrid>
      <w:tr>
        <w:trPr>
          <w:cantSplit/>
          <w:tblHeader/>
        </w:trPr>
        <w:tc>
          <w:tcPr>
            <w:tcW w:type="dxa" w:w="226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Item</w:t>
            </w:r>
          </w:p>
        </w:tc>
        <w:tc>
          <w:tcPr>
            <w:tcW w:type="dxa" w:w="7371"/>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Decision</w:t>
            </w:r>
          </w:p>
        </w:tc>
      </w:tr>
      <w:tr>
        <w:trPr>
          <w:cantSplit/>
          <w:tblHeader w:val="false"/>
        </w:trPr>
        <w:tc>
          <w:tcPr>
            <w:tcW w:type="dxa" w:w="22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Loss / optimiser</w:t>
            </w:r>
          </w:p>
        </w:tc>
        <w:tc>
          <w:tcPr>
            <w:tcW w:type="dxa" w:w="737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Cross-entropy with label smoothing 0.1; AdamW, weight decay 0.01</w:t>
            </w:r>
          </w:p>
        </w:tc>
      </w:tr>
      <w:tr>
        <w:trPr>
          <w:cantSplit/>
          <w:tblHeader w:val="false"/>
        </w:trPr>
        <w:tc>
          <w:tcPr>
            <w:tcW w:type="dxa" w:w="22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Learning rate</w:t>
            </w:r>
          </w:p>
        </w:tc>
        <w:tc>
          <w:tcPr>
            <w:tcW w:type="dxa" w:w="737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1e-3 for from-scratch models, with 2 warm-up epochs then cosine decay</w:t>
            </w:r>
          </w:p>
        </w:tc>
      </w:tr>
      <w:tr>
        <w:trPr>
          <w:cantSplit/>
          <w:tblHeader w:val="false"/>
        </w:trPr>
        <w:tc>
          <w:tcPr>
            <w:tcW w:type="dxa" w:w="22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Batch size / epochs</w:t>
            </w:r>
          </w:p>
        </w:tc>
        <w:tc>
          <w:tcPr>
            <w:tcW w:type="dxa" w:w="737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64 / up to 40, early stopping on validation accuracy with patience 8</w:t>
            </w:r>
          </w:p>
        </w:tc>
      </w:tr>
      <w:tr>
        <w:trPr>
          <w:cantSplit/>
          <w:tblHeader w:val="false"/>
        </w:trPr>
        <w:tc>
          <w:tcPr>
            <w:tcW w:type="dxa" w:w="22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Precision / seed</w:t>
            </w:r>
          </w:p>
        </w:tc>
        <w:tc>
          <w:tcPr>
            <w:tcW w:type="dxa" w:w="737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Mixed precision; seed 42 for all runs (additional seeds only if time permits)</w:t>
            </w:r>
          </w:p>
        </w:tc>
      </w:tr>
      <w:tr>
        <w:trPr>
          <w:cantSplit/>
          <w:tblHeader w:val="false"/>
        </w:trPr>
        <w:tc>
          <w:tcPr>
            <w:tcW w:type="dxa" w:w="22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Metrics</w:t>
            </w:r>
          </w:p>
        </w:tc>
        <w:tc>
          <w:tcPr>
            <w:tcW w:type="dxa" w:w="737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Accuracy, macro-F1, per-class confusion matrix (summed over folds)</w:t>
            </w:r>
          </w:p>
        </w:tc>
      </w:tr>
    </w:tbl>
    <w:p>
      <w:pPr>
        <w:pStyle w:val="Heading2"/>
        <w:spacing w:after="80" w:before="160"/>
      </w:pPr>
      <w:r>
        <w:rPr>
          <w:rFonts w:ascii="Times New Roman" w:cs="Times New Roman" w:eastAsia="Times New Roman" w:hAnsi="Times New Roman"/>
          <w:b/>
          <w:bCs/>
          <w:sz w:val="23"/>
          <w:szCs w:val="23"/>
        </w:rPr>
        <w:t xml:space="preserve">4.2 Model 1 — CNN baseline and mobile-native variant (Rohan Sinha)</w:t>
      </w:r>
    </w:p>
    <w:p>
      <w:pPr>
        <w:spacing w:after="120" w:line="276"/>
        <w:jc w:val="both"/>
      </w:pPr>
      <w:r>
        <w:rPr>
          <w:rFonts w:ascii="Times New Roman" w:cs="Times New Roman" w:eastAsia="Times New Roman" w:hAnsi="Times New Roman"/>
          <w:b/>
          <w:bCs/>
          <w:sz w:val="21"/>
          <w:szCs w:val="21"/>
        </w:rPr>
        <w:t xml:space="preserve">CNN baseline.</w:t>
      </w:r>
      <w:r>
        <w:rPr>
          <w:rFonts w:ascii="Times New Roman" w:cs="Times New Roman" w:eastAsia="Times New Roman" w:hAnsi="Times New Roman"/>
          <w:sz w:val="21"/>
          <w:szCs w:val="21"/>
        </w:rPr>
        <w:t xml:space="preserve"> Four convolutional blocks (3x3 convolution, batch normalisation, ReLU, 2x2 max pooling) with 32, 64, 128 and 256 channels, followed by global average pooling, dropout 0.3 and a 10-way linear layer. It is trained from scratch under the common protocol. It is the deliberately simple reference point, in the spirit of papers [2] and [3].</w:t>
      </w:r>
    </w:p>
    <w:p>
      <w:pPr>
        <w:spacing w:after="120" w:line="276"/>
        <w:jc w:val="both"/>
      </w:pPr>
      <w:r>
        <w:rPr>
          <w:rFonts w:ascii="Times New Roman" w:cs="Times New Roman" w:eastAsia="Times New Roman" w:hAnsi="Times New Roman"/>
          <w:b/>
          <w:bCs/>
          <w:sz w:val="21"/>
          <w:szCs w:val="21"/>
        </w:rPr>
        <w:t xml:space="preserve">Mobile-native variant.</w:t>
      </w:r>
      <w:r>
        <w:rPr>
          <w:rFonts w:ascii="Times New Roman" w:cs="Times New Roman" w:eastAsia="Times New Roman" w:hAnsi="Times New Roman"/>
          <w:sz w:val="21"/>
          <w:szCs w:val="21"/>
        </w:rPr>
        <w:t xml:space="preserve"> MobileNetV3-Small, chosen over the Large variant because it is the smaller edge-oriented point of paper [6]. The single-channel spectrogram is fed in by summing the first-layer RGB filters, and the classifier head is replaced by a 10-way layer. Two runs are made: (a) from scratch, and (b) initialised from ImageNet weights with learning rate 3e-4. Run (b) is the pretraining control that makes the comparison with the pretrained AST fair. If MobileNetV3-Small underperforms badly, EfficientNet-Lite0 replaces it; this is decided only by validation accuracy, never by test-fold results.</w:t>
      </w:r>
    </w:p>
    <w:p>
      <w:pPr>
        <w:spacing w:after="120" w:line="276"/>
        <w:jc w:val="both"/>
      </w:pPr>
      <w:r>
        <w:rPr>
          <w:rFonts w:ascii="Times New Roman" w:cs="Times New Roman" w:eastAsia="Times New Roman" w:hAnsi="Times New Roman"/>
          <w:b/>
          <w:bCs/>
          <w:sz w:val="21"/>
          <w:szCs w:val="21"/>
        </w:rPr>
        <w:t xml:space="preserve">Shared tooling owned by this member:</w:t>
      </w:r>
      <w:r>
        <w:rPr>
          <w:rFonts w:ascii="Times New Roman" w:cs="Times New Roman" w:eastAsia="Times New Roman" w:hAnsi="Times New Roman"/>
          <w:sz w:val="21"/>
          <w:szCs w:val="21"/>
        </w:rPr>
        <w:t xml:space="preserve"> the preprocessing pipeline (Section 3) and the efficiency-benchmarking harness (Section 4.6).</w:t>
      </w:r>
    </w:p>
    <w:p>
      <w:pPr>
        <w:pStyle w:val="Heading2"/>
        <w:spacing w:after="80" w:before="160"/>
      </w:pPr>
      <w:r>
        <w:rPr>
          <w:rFonts w:ascii="Times New Roman" w:cs="Times New Roman" w:eastAsia="Times New Roman" w:hAnsi="Times New Roman"/>
          <w:b/>
          <w:bCs/>
          <w:sz w:val="23"/>
          <w:szCs w:val="23"/>
        </w:rPr>
        <w:t xml:space="preserve">4.3 Model 2 — CRNN (Akshdeep Singh)</w:t>
      </w:r>
    </w:p>
    <w:p>
      <w:pPr>
        <w:spacing w:after="120" w:line="276"/>
        <w:jc w:val="both"/>
      </w:pPr>
      <w:r>
        <w:rPr>
          <w:rFonts w:ascii="Times New Roman" w:cs="Times New Roman" w:eastAsia="Times New Roman" w:hAnsi="Times New Roman"/>
          <w:sz w:val="21"/>
          <w:szCs w:val="21"/>
        </w:rPr>
        <w:t xml:space="preserve">Three convolutional blocks (3x3 convolution, batch normalisation, ReLU) with 32, 64 and 128 channels and pooling of (2,2), (2,2) and (2,1) over (frequency, time). This shrinks the frequency axis from 128 to 16 while keeping 50 time steps. The remaining frequency and channel dimensions are flattened into one 2,048-dimensional vector per time step, projected to 128 dimensions, and passed to a single-layer bidirectional GRU with hidden size 128. Mean and max pooling over time are concatenated, followed by dropout 0.3 and a 10-way linear layer. A GRU is used rather than an LSTM because it has fewer parameters, which matters for the efficiency goal; an LSTM version is an optional ablation. Trained from scratch under the common protocol.</w:t>
      </w:r>
    </w:p>
    <w:p>
      <w:pPr>
        <w:pStyle w:val="Heading2"/>
        <w:spacing w:after="80" w:before="160"/>
      </w:pPr>
      <w:r>
        <w:rPr>
          <w:rFonts w:ascii="Times New Roman" w:cs="Times New Roman" w:eastAsia="Times New Roman" w:hAnsi="Times New Roman"/>
          <w:b/>
          <w:bCs/>
          <w:sz w:val="23"/>
          <w:szCs w:val="23"/>
        </w:rPr>
        <w:t xml:space="preserve">4.4 Model 3 — Audio Spectrogram Transformer (Siddharth Nair)</w:t>
      </w:r>
    </w:p>
    <w:p>
      <w:pPr>
        <w:spacing w:after="120" w:line="276"/>
        <w:jc w:val="both"/>
      </w:pPr>
      <w:r>
        <w:rPr>
          <w:rFonts w:ascii="Times New Roman" w:cs="Times New Roman" w:eastAsia="Times New Roman" w:hAnsi="Times New Roman"/>
          <w:sz w:val="21"/>
          <w:szCs w:val="21"/>
        </w:rPr>
        <w:t xml:space="preserve">The pretrained AST of paper [5] (ImageNet and AudioSet initialisation, from the authors' public code release) with its input length set to 400 frames and the head replaced by a 10-way layer. Fine-tuning settings: AdamW, learning rate 5e-5 with cosine decay, batch size 16, mixed precision, 5 epochs per fold, SpecAugment masking as in Section 3. All 10 folds are run. If by 14 Oct the remaining GPU time cannot cover 10 folds, the fallback is a fixed subset of folds 1, 5 and 9 for AST and its compressed variant, with the full 10 folds kept for the other models and the subset stated clearly in the results table.</w:t>
      </w:r>
    </w:p>
    <w:p>
      <w:pPr>
        <w:pStyle w:val="Heading2"/>
        <w:spacing w:after="80" w:before="160"/>
      </w:pPr>
      <w:r>
        <w:rPr>
          <w:rFonts w:ascii="Times New Roman" w:cs="Times New Roman" w:eastAsia="Times New Roman" w:hAnsi="Times New Roman"/>
          <w:b/>
          <w:bCs/>
          <w:sz w:val="23"/>
          <w:szCs w:val="23"/>
        </w:rPr>
        <w:t xml:space="preserve">4.5 Preliminary results</w:t>
      </w:r>
    </w:p>
    <w:p>
      <w:pPr>
        <w:spacing w:after="120" w:line="276"/>
        <w:jc w:val="both"/>
      </w:pPr>
      <w:r>
        <w:rPr>
          <w:rFonts w:ascii="Times New Roman" w:cs="Times New Roman" w:eastAsia="Times New Roman" w:hAnsi="Times New Roman"/>
          <w:sz w:val="21"/>
          <w:szCs w:val="21"/>
        </w:rPr>
        <w:t xml:space="preserve">Results are from the official 10-fold protocol (mean ± std over folds); the highlighted cells are filled from the training runs and benchmark harness, and are not estimated.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4"/>
        <w:gridCol w:w="1700"/>
        <w:gridCol w:w="1133"/>
        <w:gridCol w:w="1020"/>
        <w:gridCol w:w="1133"/>
        <w:gridCol w:w="1020"/>
        <w:gridCol w:w="1478"/>
      </w:tblGrid>
      <w:tr>
        <w:trPr>
          <w:cantSplit/>
          <w:tblHeader/>
        </w:trPr>
        <w:tc>
          <w:tcPr>
            <w:tcW w:type="dxa" w:w="2154"/>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Model</w:t>
            </w:r>
          </w:p>
        </w:tc>
        <w:tc>
          <w:tcPr>
            <w:tcW w:type="dxa" w:w="1700"/>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Pretrained</w:t>
            </w:r>
          </w:p>
        </w:tc>
        <w:tc>
          <w:tcPr>
            <w:tcW w:type="dxa" w:w="1133"/>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Accuracy (%)</w:t>
            </w:r>
          </w:p>
        </w:tc>
        <w:tc>
          <w:tcPr>
            <w:tcW w:type="dxa" w:w="1020"/>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Macro-F1</w:t>
            </w:r>
          </w:p>
        </w:tc>
        <w:tc>
          <w:tcPr>
            <w:tcW w:type="dxa" w:w="1133"/>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Params (M)</w:t>
            </w:r>
          </w:p>
        </w:tc>
        <w:tc>
          <w:tcPr>
            <w:tcW w:type="dxa" w:w="1020"/>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Size (MB)</w:t>
            </w:r>
          </w:p>
        </w:tc>
        <w:tc>
          <w:tcPr>
            <w:tcW w:type="dxa" w:w="1478"/>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CPU latency (ms)</w:t>
            </w:r>
          </w:p>
        </w:tc>
      </w:tr>
      <w:tr>
        <w:trPr>
          <w:cantSplit/>
          <w:tblHeader w:val="false"/>
        </w:trPr>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CNN baseline</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No</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47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r>
      <w:tr>
        <w:trPr>
          <w:cantSplit/>
          <w:tblHeader w:val="false"/>
        </w:trPr>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MobileNetV3-Small</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No</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47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r>
      <w:tr>
        <w:trPr>
          <w:cantSplit/>
          <w:tblHeader w:val="false"/>
        </w:trPr>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MobileNetV3-Small</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ImageNet</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47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r>
      <w:tr>
        <w:trPr>
          <w:cantSplit/>
          <w:tblHeader w:val="false"/>
        </w:trPr>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CRNN (CNN + BiGRU)</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No</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c>
          <w:tcPr>
            <w:tcW w:type="dxa" w:w="147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highlight w:val="yellow"/>
                <w:highlightCs w:val="yellow"/>
              </w:rPr>
              <w:t xml:space="preserve">[run]</w:t>
            </w:r>
          </w:p>
        </w:tc>
      </w:tr>
      <w:tr>
        <w:trPr>
          <w:cantSplit/>
          <w:tblHeader w:val="false"/>
        </w:trPr>
        <w:tc>
          <w:tcPr>
            <w:tcW w:type="dxa" w:w="2154"/>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AST</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ImageNet + AudioSet</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pending</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pending</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pending</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pending</w:t>
            </w:r>
          </w:p>
        </w:tc>
        <w:tc>
          <w:tcPr>
            <w:tcW w:type="dxa" w:w="147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pending</w:t>
            </w:r>
          </w:p>
        </w:tc>
      </w:tr>
    </w:tbl>
    <w:p>
      <w:pPr>
        <w:spacing w:after="80"/>
      </w:pPr>
    </w:p>
    <w:p>
      <w:pPr>
        <w:spacing w:after="120" w:line="276"/>
        <w:jc w:val="both"/>
      </w:pPr>
      <w:r>
        <w:rPr>
          <w:rFonts w:ascii="Times New Roman" w:cs="Times New Roman" w:eastAsia="Times New Roman" w:hAnsi="Times New Roman"/>
          <w:b/>
          <w:bCs/>
          <w:sz w:val="21"/>
          <w:szCs w:val="21"/>
        </w:rPr>
        <w:t xml:space="preserve">Expected outcomes (hypotheses, not measured results).</w:t>
      </w:r>
      <w:r>
        <w:rPr>
          <w:rFonts w:ascii="Times New Roman" w:cs="Times New Roman" w:eastAsia="Times New Roman" w:hAnsi="Times New Roman"/>
          <w:sz w:val="21"/>
          <w:szCs w:val="21"/>
        </w:rPr>
        <w:t xml:space="preserve"> Before the runs are complete, the team's expectations are stated below so the final results can be compared against them. They are derived from published results on this benchmark (papers [2], [3], [5], [6]) and from parameter and FLOP counts of the specified architectures. Parameter and size figures follow directly from the designs; accuracy and latency ranges are the least certain and will be replaced by the measured values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587"/>
        <w:gridCol w:w="1133"/>
        <w:gridCol w:w="1133"/>
        <w:gridCol w:w="1020"/>
        <w:gridCol w:w="1247"/>
        <w:gridCol w:w="1591"/>
      </w:tblGrid>
      <w:tr>
        <w:trPr>
          <w:cantSplit/>
          <w:tblHeader/>
        </w:trPr>
        <w:tc>
          <w:tcPr>
            <w:tcW w:type="dxa" w:w="192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Model</w:t>
            </w:r>
          </w:p>
        </w:tc>
        <w:tc>
          <w:tcPr>
            <w:tcW w:type="dxa" w:w="158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Pretrained</w:t>
            </w:r>
          </w:p>
        </w:tc>
        <w:tc>
          <w:tcPr>
            <w:tcW w:type="dxa" w:w="1133"/>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Accuracy (%)</w:t>
            </w:r>
          </w:p>
        </w:tc>
        <w:tc>
          <w:tcPr>
            <w:tcW w:type="dxa" w:w="1133"/>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Macro-F1</w:t>
            </w:r>
          </w:p>
        </w:tc>
        <w:tc>
          <w:tcPr>
            <w:tcW w:type="dxa" w:w="1020"/>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Params (M)</w:t>
            </w:r>
          </w:p>
        </w:tc>
        <w:tc>
          <w:tcPr>
            <w:tcW w:type="dxa" w:w="124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Size (MB, fp32)</w:t>
            </w:r>
          </w:p>
        </w:tc>
        <w:tc>
          <w:tcPr>
            <w:tcW w:type="dxa" w:w="1591"/>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CPU latency, 1 thread (ms)</w:t>
            </w:r>
          </w:p>
        </w:tc>
      </w:tr>
      <w:tr>
        <w:trPr>
          <w:cantSplit/>
          <w:tblHeader w:val="false"/>
        </w:trPr>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CNN baseline</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No</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75–82</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0.74–0.81</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~0.39</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~1.6</w:t>
            </w:r>
          </w:p>
        </w:tc>
        <w:tc>
          <w:tcPr>
            <w:tcW w:type="dxa" w:w="159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5–15</w:t>
            </w:r>
          </w:p>
        </w:tc>
      </w:tr>
      <w:tr>
        <w:trPr>
          <w:cantSplit/>
          <w:tblHeader w:val="false"/>
        </w:trPr>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MobileNetV3-Small</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No</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70–80</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0.69–0.79</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~1.5</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~6</w:t>
            </w:r>
          </w:p>
        </w:tc>
        <w:tc>
          <w:tcPr>
            <w:tcW w:type="dxa" w:w="159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3–10</w:t>
            </w:r>
          </w:p>
        </w:tc>
      </w:tr>
      <w:tr>
        <w:trPr>
          <w:cantSplit/>
          <w:tblHeader w:val="false"/>
        </w:trPr>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MobileNetV3-Small</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ImageNet</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80–87</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0.79–0.86</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~1.5</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~6</w:t>
            </w:r>
          </w:p>
        </w:tc>
        <w:tc>
          <w:tcPr>
            <w:tcW w:type="dxa" w:w="159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3–10</w:t>
            </w:r>
          </w:p>
        </w:tc>
      </w:tr>
      <w:tr>
        <w:trPr>
          <w:cantSplit/>
          <w:tblHeader w:val="false"/>
        </w:trPr>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CRNN (CNN + BiGRU)</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No</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76–84</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0.75–0.83</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~0.56</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~2.2</w:t>
            </w:r>
          </w:p>
        </w:tc>
        <w:tc>
          <w:tcPr>
            <w:tcW w:type="dxa" w:w="159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5–20</w:t>
            </w:r>
          </w:p>
        </w:tc>
      </w:tr>
      <w:tr>
        <w:trPr>
          <w:cantSplit/>
          <w:tblHeader w:val="false"/>
        </w:trPr>
        <w:tc>
          <w:tcPr>
            <w:tcW w:type="dxa" w:w="192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AST</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ImageNet + AudioSet</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90–95</w:t>
            </w:r>
          </w:p>
        </w:tc>
        <w:tc>
          <w:tcPr>
            <w:tcW w:type="dxa" w:w="1133"/>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0.89–0.95</w:t>
            </w:r>
          </w:p>
        </w:tc>
        <w:tc>
          <w:tcPr>
            <w:tcW w:type="dxa" w:w="102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~87</w:t>
            </w:r>
          </w:p>
        </w:tc>
        <w:tc>
          <w:tcPr>
            <w:tcW w:type="dxa" w:w="124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~340</w:t>
            </w:r>
          </w:p>
        </w:tc>
        <w:tc>
          <w:tcPr>
            <w:tcW w:type="dxa" w:w="159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500–1500</w:t>
            </w:r>
          </w:p>
        </w:tc>
      </w:tr>
    </w:tbl>
    <w:p>
      <w:pPr>
        <w:spacing w:after="60"/>
      </w:pPr>
    </w:p>
    <w:p>
      <w:pPr>
        <w:spacing w:after="120" w:line="276"/>
        <w:jc w:val="both"/>
      </w:pPr>
      <w:r>
        <w:rPr>
          <w:rFonts w:ascii="Times New Roman" w:cs="Times New Roman" w:eastAsia="Times New Roman" w:hAnsi="Times New Roman"/>
          <w:sz w:val="21"/>
          <w:szCs w:val="21"/>
        </w:rPr>
        <w:t xml:space="preserve">Expected ordering: AST is the most accurate but roughly 50–100 times slower and about 200 times larger than the small models; pretraining should lift the mobile-native model by several points; 8-bit quantization should cut size by about 3–4 times with a small accuracy loss on the CNNs, while AST is the model most at risk of larger degradation. Latency depends on the benchmarking machine, so the ratios between models matter more than the absolute values.</w:t>
      </w:r>
    </w:p>
    <w:p>
      <w:pPr>
        <w:spacing w:after="120" w:line="276"/>
        <w:jc w:val="both"/>
      </w:pPr>
      <w:r>
        <w:rPr>
          <w:rFonts w:ascii="Times New Roman" w:cs="Times New Roman" w:eastAsia="Times New Roman" w:hAnsi="Times New Roman"/>
          <w:b/>
          <w:bCs/>
          <w:sz w:val="21"/>
          <w:szCs w:val="21"/>
        </w:rPr>
        <w:t xml:space="preserve">Analysis to be written from the results:</w:t>
      </w:r>
      <w:r>
        <w:rPr>
          <w:rFonts w:ascii="Times New Roman" w:cs="Times New Roman" w:eastAsia="Times New Roman" w:hAnsi="Times New Roman"/>
          <w:sz w:val="21"/>
          <w:szCs w:val="21"/>
        </w:rPr>
        <w:t xml:space="preserve"> which classes each model confuses (air conditioner versus engine idling, and drilling versus jackhammer, are the acoustically closest pairs), whether the CRNN's recurrence helps on 4 s clips, and how much accuracy the mobile-native model gives up for its savings in size and latency. One confusion matrix per model and the per-fold table accompany the results.</w:t>
      </w:r>
    </w:p>
    <w:p>
      <w:pPr>
        <w:pStyle w:val="Heading2"/>
        <w:spacing w:after="80" w:before="160"/>
      </w:pPr>
      <w:r>
        <w:rPr>
          <w:rFonts w:ascii="Times New Roman" w:cs="Times New Roman" w:eastAsia="Times New Roman" w:hAnsi="Times New Roman"/>
          <w:b/>
          <w:bCs/>
          <w:sz w:val="23"/>
          <w:szCs w:val="23"/>
        </w:rPr>
        <w:t xml:space="preserve">4.6 Efficiency benchmarking and compression protocol (fixed)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0"/>
        <w:gridCol w:w="7598"/>
      </w:tblGrid>
      <w:tr>
        <w:trPr>
          <w:cantSplit/>
          <w:tblHeader/>
        </w:trPr>
        <w:tc>
          <w:tcPr>
            <w:tcW w:type="dxa" w:w="2040"/>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Item</w:t>
            </w:r>
          </w:p>
        </w:tc>
        <w:tc>
          <w:tcPr>
            <w:tcW w:type="dxa" w:w="7598"/>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Decision</w:t>
            </w:r>
          </w:p>
        </w:tc>
      </w:tr>
      <w:tr>
        <w:trPr>
          <w:cantSplit/>
          <w:tblHeader w:val="false"/>
        </w:trPr>
        <w:tc>
          <w:tcPr>
            <w:tcW w:type="dxa" w:w="204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Parameters / size</w:t>
            </w:r>
          </w:p>
        </w:tc>
        <w:tc>
          <w:tcPr>
            <w:tcW w:type="dxa" w:w="759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Total trainable parameters; size is the saved model file in MB (fp32, int8 and sparse variants reported separately)</w:t>
            </w:r>
          </w:p>
        </w:tc>
      </w:tr>
      <w:tr>
        <w:trPr>
          <w:cantSplit/>
          <w:tblHeader w:val="false"/>
        </w:trPr>
        <w:tc>
          <w:tcPr>
            <w:tcW w:type="dxa" w:w="204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Latency</w:t>
            </w:r>
          </w:p>
        </w:tc>
        <w:tc>
          <w:tcPr>
            <w:tcW w:type="dxa" w:w="759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Batch size 1, one 4 s clip, CPU only. 20 warm-up and 200 timed runs; report median and 95th percentile at 1 thread and at 4 threads. All models timed on one machine (the one running the harness). Feature extraction is timed separately from the forward pass.</w:t>
            </w:r>
          </w:p>
        </w:tc>
      </w:tr>
      <w:tr>
        <w:trPr>
          <w:cantSplit/>
          <w:tblHeader w:val="false"/>
        </w:trPr>
        <w:tc>
          <w:tcPr>
            <w:tcW w:type="dxa" w:w="204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Quantization</w:t>
            </w:r>
          </w:p>
        </w:tc>
        <w:tc>
          <w:tcPr>
            <w:tcW w:type="dxa" w:w="759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Post-training 8-bit: dynamic quantization for linear and recurrent layers (CRNN, AST); static quantization with 100 calibration clips from the training folds for the convolutional models. Evaluated on all folds with no retraining.</w:t>
            </w:r>
          </w:p>
        </w:tc>
      </w:tr>
      <w:tr>
        <w:trPr>
          <w:cantSplit/>
          <w:tblHeader w:val="false"/>
        </w:trPr>
        <w:tc>
          <w:tcPr>
            <w:tcW w:type="dxa" w:w="204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Pruning</w:t>
            </w:r>
          </w:p>
        </w:tc>
        <w:tc>
          <w:tcPr>
            <w:tcW w:type="dxa" w:w="759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Global magnitude (L1) unstructured pruning at 30%, 50% and 70% sparsity with 3 epochs of fine-tuning afterwards; evaluated on folds 1, 5 and 9 for every model. Reports non-zero parameters and compressed (gzip) size, and notes that unstructured sparsity does not by itself reduce CPU latency.</w:t>
            </w:r>
          </w:p>
        </w:tc>
      </w:tr>
      <w:tr>
        <w:trPr>
          <w:cantSplit/>
          <w:tblHeader w:val="false"/>
        </w:trPr>
        <w:tc>
          <w:tcPr>
            <w:tcW w:type="dxa" w:w="204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On-device mobile measurement</w:t>
            </w:r>
          </w:p>
        </w:tc>
        <w:tc>
          <w:tcPr>
            <w:tcW w:type="dxa" w:w="7598"/>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Out of scope. Efficiency is reported on CPU only and this is stated as a limitation in the final report.</w:t>
            </w:r>
          </w:p>
        </w:tc>
      </w:tr>
    </w:tbl>
    <w:p>
      <w:pPr>
        <w:pStyle w:val="Heading1"/>
        <w:spacing w:after="120" w:before="240"/>
      </w:pPr>
      <w:r>
        <w:rPr>
          <w:rFonts w:ascii="Times New Roman" w:cs="Times New Roman" w:eastAsia="Times New Roman" w:hAnsi="Times New Roman"/>
          <w:b/>
          <w:bCs/>
          <w:color w:val="1F3A5F"/>
          <w:sz w:val="28"/>
          <w:szCs w:val="28"/>
        </w:rPr>
        <w:t xml:space="preserve">5. Individual Contribution Log (to date)</w:t>
      </w:r>
    </w:p>
    <w:p>
      <w:pPr>
        <w:spacing w:after="120" w:line="276"/>
        <w:jc w:val="both"/>
      </w:pPr>
      <w:r>
        <w:rPr>
          <w:rFonts w:ascii="Times New Roman" w:cs="Times New Roman" w:eastAsia="Times New Roman" w:hAnsi="Times New Roman"/>
          <w:sz w:val="21"/>
          <w:szCs w:val="21"/>
        </w:rPr>
        <w:t xml:space="preserve">Each member owns one model end-to-end and is individually responsible for defending it in the viva. Shared work is split as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1"/>
        <w:gridCol w:w="1965"/>
        <w:gridCol w:w="1965"/>
        <w:gridCol w:w="1967"/>
      </w:tblGrid>
      <w:tr>
        <w:trPr>
          <w:cantSplit/>
          <w:tblHeader/>
        </w:trPr>
        <w:tc>
          <w:tcPr>
            <w:tcW w:type="dxa" w:w="3741"/>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Task</w:t>
            </w:r>
          </w:p>
        </w:tc>
        <w:tc>
          <w:tcPr>
            <w:tcW w:type="dxa" w:w="1965"/>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Rohan Sinha</w:t>
            </w:r>
          </w:p>
        </w:tc>
        <w:tc>
          <w:tcPr>
            <w:tcW w:type="dxa" w:w="1965"/>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Akshdeep Singh</w:t>
            </w:r>
          </w:p>
        </w:tc>
        <w:tc>
          <w:tcPr>
            <w:tcW w:type="dxa" w:w="196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Siddharth Nair</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Dataset download, EDA, class statistics</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Owner</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Review</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Review</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Shared preprocessing pipeline and feature cache</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Owner</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Uses</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Uses</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CNN baseline + MobileNetV3 variants</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Owner</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Efficiency harness (params, size, latency)</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Owner</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Uses</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Uses</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CRNN implementation and tuning</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Owner</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AST fine-tuning and quantization / pruning study</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Owner</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Literature table (papers 1, 2, 3, 6 / 4, 8, 9 / 5, 7, 10)</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Papers 1, 2, 3, 6</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Papers 4, 8, 9</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Papers 5, 7, 10</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Interim report writing</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Sections 1, 3, 4.1–4.2, 4.6</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Sections 4.3, 5</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Sections 2, 4.4, 6</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Final slides and presentation</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 model + results</w:t>
            </w:r>
          </w:p>
        </w:tc>
        <w:tc>
          <w:tcPr>
            <w:tcW w:type="dxa" w:w="196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 model + error analysis</w:t>
            </w:r>
          </w:p>
        </w:tc>
        <w:tc>
          <w:tcPr>
            <w:tcW w:type="dxa" w:w="196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Own model + compression</w:t>
            </w:r>
          </w:p>
        </w:tc>
      </w:tr>
    </w:tbl>
    <w:p>
      <w:pPr>
        <w:spacing w:after="80"/>
      </w:pPr>
    </w:p>
    <w:p>
      <w:pPr>
        <w:spacing w:after="120" w:line="276"/>
        <w:jc w:val="both"/>
      </w:pPr>
      <w:r>
        <w:rPr>
          <w:rFonts w:ascii="Times New Roman" w:cs="Times New Roman" w:eastAsia="Times New Roman" w:hAnsi="Times New Roman"/>
          <w:b/>
          <w:bCs/>
          <w:sz w:val="21"/>
          <w:szCs w:val="21"/>
        </w:rPr>
        <w:t xml:space="preserve">Version control.</w:t>
      </w:r>
      <w:r>
        <w:rPr>
          <w:rFonts w:ascii="Times New Roman" w:cs="Times New Roman" w:eastAsia="Times New Roman" w:hAnsi="Times New Roman"/>
          <w:sz w:val="21"/>
          <w:szCs w:val="21"/>
        </w:rPr>
        <w:t xml:space="preserve"> A single shared GitHub repository is created by the team, with one branch per model (CNN, CRNN, AST) and one shared branch for preprocessing and the benchmarking harness. Each member commits their own work from their own account at regular intervals, not in a single push, so that the commit history can be used as evidence of individual contribution.</w:t>
      </w:r>
    </w:p>
    <w:p>
      <w:pPr>
        <w:spacing w:after="120" w:line="276"/>
        <w:jc w:val="both"/>
      </w:pPr>
      <w:r>
        <w:rPr>
          <w:rFonts w:ascii="Times New Roman" w:cs="Times New Roman" w:eastAsia="Times New Roman" w:hAnsi="Times New Roman"/>
          <w:b/>
          <w:bCs/>
          <w:sz w:val="21"/>
          <w:szCs w:val="21"/>
        </w:rPr>
        <w:t xml:space="preserve">Use of external tools (academic-integrity declaration).</w:t>
      </w:r>
      <w:r>
        <w:rPr>
          <w:rFonts w:ascii="Times New Roman" w:cs="Times New Roman" w:eastAsia="Times New Roman" w:hAnsi="Times New Roman"/>
          <w:sz w:val="21"/>
          <w:szCs w:val="21"/>
        </w:rPr>
        <w:t xml:space="preserve"> Code and text are the team's own work except where cited. The literature summary table and the text of this interim report were drafted with an LLM (Claude, Anthropic), and the members verified the cited results against the original papers before submission. Any later use of an LLM for code, experiments or the final report will be listed in the final report with the exact place of use.</w:t>
      </w:r>
    </w:p>
    <w:p>
      <w:pPr>
        <w:spacing w:after="60" w:line="276"/>
        <w:jc w:val="both"/>
      </w:pPr>
      <w:r>
        <w:rPr>
          <w:rFonts w:ascii="Times New Roman" w:cs="Times New Roman" w:eastAsia="Times New Roman" w:hAnsi="Times New Roman"/>
          <w:sz w:val="21"/>
          <w:szCs w:val="21"/>
        </w:rPr>
        <w:t xml:space="preserve">Task matrix confirmed and signed by all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rHeight w:val="900" w:hRule="atLeast"/>
        </w:trPr>
        <w:tc>
          <w:tcPr>
            <w:tcW w:type="dxa" w:w="321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pPr>
          </w:p>
        </w:tc>
        <w:tc>
          <w:tcPr>
            <w:tcW w:type="dxa" w:w="321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pPr>
          </w:p>
        </w:tc>
        <w:tc>
          <w:tcPr>
            <w:tcW w:type="dxa" w:w="32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pPr>
          </w:p>
        </w:tc>
      </w:tr>
      <w:tr>
        <w:tc>
          <w:tcPr>
            <w:tcW w:type="dxa" w:w="3212"/>
            <w:tcBorders>
              <w:top w:val="single" w:color="000000" w:sz="6"/>
              <w:left w:val="none" w:color="FFFFFF" w:sz="0"/>
              <w:bottom w:val="none" w:color="FFFFFF" w:sz="0"/>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sz w:val="18"/>
                <w:szCs w:val="18"/>
              </w:rPr>
              <w:t xml:space="preserve">Rohan Sinha — Date:</w:t>
            </w:r>
          </w:p>
        </w:tc>
        <w:tc>
          <w:tcPr>
            <w:tcW w:type="dxa" w:w="3212"/>
            <w:tcBorders>
              <w:top w:val="single" w:color="000000" w:sz="6"/>
              <w:left w:val="none" w:color="FFFFFF" w:sz="0"/>
              <w:bottom w:val="none" w:color="FFFFFF" w:sz="0"/>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sz w:val="18"/>
                <w:szCs w:val="18"/>
              </w:rPr>
              <w:t xml:space="preserve">Akshdeep Singh — Date:</w:t>
            </w:r>
          </w:p>
        </w:tc>
        <w:tc>
          <w:tcPr>
            <w:tcW w:type="dxa" w:w="3214"/>
            <w:tcBorders>
              <w:top w:val="single" w:color="000000" w:sz="6"/>
              <w:left w:val="none" w:color="FFFFFF" w:sz="0"/>
              <w:bottom w:val="none" w:color="FFFFFF" w:sz="0"/>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sz w:val="18"/>
                <w:szCs w:val="18"/>
              </w:rPr>
              <w:t xml:space="preserve">Siddharth Nair — Date:</w:t>
            </w:r>
          </w:p>
        </w:tc>
      </w:tr>
    </w:tbl>
    <w:p>
      <w:pPr>
        <w:pStyle w:val="Heading1"/>
        <w:spacing w:after="120" w:before="240"/>
      </w:pPr>
      <w:r>
        <w:rPr>
          <w:rFonts w:ascii="Times New Roman" w:cs="Times New Roman" w:eastAsia="Times New Roman" w:hAnsi="Times New Roman"/>
          <w:b/>
          <w:bCs/>
          <w:color w:val="1F3A5F"/>
          <w:sz w:val="28"/>
          <w:szCs w:val="28"/>
        </w:rPr>
        <w:t xml:space="preserve">6. Risks and Plan for Remaining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1"/>
        <w:gridCol w:w="1587"/>
        <w:gridCol w:w="4310"/>
      </w:tblGrid>
      <w:tr>
        <w:trPr>
          <w:cantSplit/>
          <w:tblHeader/>
        </w:trPr>
        <w:tc>
          <w:tcPr>
            <w:tcW w:type="dxa" w:w="3741"/>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Risk</w:t>
            </w:r>
          </w:p>
        </w:tc>
        <w:tc>
          <w:tcPr>
            <w:tcW w:type="dxa" w:w="1587"/>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Likelihood / impact</w:t>
            </w:r>
          </w:p>
        </w:tc>
        <w:tc>
          <w:tcPr>
            <w:tcW w:type="dxa" w:w="4310"/>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Mitigation</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AST fine-tuning is slow or exceeds available GPU memory (about 87M parameters)</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Medium / High</w:t>
            </w:r>
          </w:p>
        </w:tc>
        <w:tc>
          <w:tcPr>
            <w:tcW w:type="dxa" w:w="431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Mixed precision, batch size 16 with gradient accumulation if needed, 5 epochs per fold; fallback to folds 1, 5 and 9 decided on 14 Oct (Section 4.4)</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Unfair comparison: AST is pretrained, CNN and CRNN are trained from scratch</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High / Medium</w:t>
            </w:r>
          </w:p>
        </w:tc>
        <w:tc>
          <w:tcPr>
            <w:tcW w:type="dxa" w:w="431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Pretraining status is a column in the results table; ImageNet-pretrained MobileNetV3-Small is included as a control (Section 4.2)</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Fold leakage or inconsistent normalisation across members</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Low / High</w:t>
            </w:r>
          </w:p>
        </w:tc>
        <w:tc>
          <w:tcPr>
            <w:tcW w:type="dxa" w:w="431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One shared split rule and one shared feature cache (Section 3); no member re-splits the data</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Quantization or pruning degrades the transformer sharply</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Medium / Medium</w:t>
            </w:r>
          </w:p>
        </w:tc>
        <w:tc>
          <w:tcPr>
            <w:tcW w:type="dxa" w:w="431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Report it as a finding; dynamic 8-bit quantization first; pruning sweep over three sparsity levels</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Latency numbers not comparable across machines</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Medium / Medium</w:t>
            </w:r>
          </w:p>
        </w:tc>
        <w:tc>
          <w:tcPr>
            <w:tcW w:type="dxa" w:w="431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All models timed on one machine with fixed thread counts (Section 4.6)</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Repository not yet in place, so commit evidence starts late</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High / Medium</w:t>
            </w:r>
          </w:p>
        </w:tc>
        <w:tc>
          <w:tcPr>
            <w:tcW w:type="dxa" w:w="431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Repository created and the preprocessing pipeline pushed first; every member commits from their own account from then on</w:t>
            </w:r>
          </w:p>
        </w:tc>
      </w:tr>
      <w:tr>
        <w:trPr>
          <w:cantSplit/>
          <w:tblHeader w:val="false"/>
        </w:trPr>
        <w:tc>
          <w:tcPr>
            <w:tcW w:type="dxa" w:w="374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Limited working days around the mid-term exam period</w:t>
            </w:r>
          </w:p>
        </w:tc>
        <w:tc>
          <w:tcPr>
            <w:tcW w:type="dxa" w:w="1587"/>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High / Medium</w:t>
            </w:r>
          </w:p>
        </w:tc>
        <w:tc>
          <w:tcPr>
            <w:tcW w:type="dxa" w:w="4310"/>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Fixed weekly work slots; heavy GPU runs scheduled in blocks; AST setup done in parallel with CNN/CRNN runs</w:t>
            </w:r>
          </w:p>
        </w:tc>
      </w:tr>
    </w:tbl>
    <w:p>
      <w:pPr>
        <w:spacing w:after="80"/>
      </w:pPr>
    </w:p>
    <w:p>
      <w:pPr>
        <w:spacing w:after="120" w:line="276"/>
        <w:jc w:val="both"/>
      </w:pPr>
      <w:r>
        <w:rPr>
          <w:rFonts w:ascii="Times New Roman" w:cs="Times New Roman" w:eastAsia="Times New Roman" w:hAnsi="Times New Roman"/>
          <w:b/>
          <w:bCs/>
          <w:sz w:val="21"/>
          <w:szCs w:val="21"/>
        </w:rPr>
        <w:t xml:space="preserve">Timeline to final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15"/>
        <w:gridCol w:w="3061"/>
        <w:gridCol w:w="1362"/>
      </w:tblGrid>
      <w:tr>
        <w:trPr>
          <w:cantSplit/>
          <w:tblHeader/>
        </w:trPr>
        <w:tc>
          <w:tcPr>
            <w:tcW w:type="dxa" w:w="5215"/>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Milestone</w:t>
            </w:r>
          </w:p>
        </w:tc>
        <w:tc>
          <w:tcPr>
            <w:tcW w:type="dxa" w:w="3061"/>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Owner</w:t>
            </w:r>
          </w:p>
        </w:tc>
        <w:tc>
          <w:tcPr>
            <w:tcW w:type="dxa" w:w="1362"/>
            <w:tcBorders>
              <w:top w:val="single" w:color="999999" w:sz="4"/>
              <w:left w:val="single" w:color="999999" w:sz="4"/>
              <w:bottom w:val="single" w:color="999999" w:sz="4"/>
              <w:right w:val="single" w:color="999999" w:sz="4"/>
            </w:tcBorders>
            <w:shd w:fill="DCE6F2" w:color="auto"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6"/>
                <w:szCs w:val="16"/>
              </w:rPr>
              <w:t xml:space="preserve">Target</w:t>
            </w:r>
          </w:p>
        </w:tc>
      </w:tr>
      <w:tr>
        <w:trPr>
          <w:cantSplit/>
          <w:tblHeader w:val="false"/>
        </w:trPr>
        <w:tc>
          <w:tcPr>
            <w:tcW w:type="dxa" w:w="521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Repository created; preprocessing pipeline and feature cache pushed</w:t>
            </w:r>
          </w:p>
        </w:tc>
        <w:tc>
          <w:tcPr>
            <w:tcW w:type="dxa" w:w="306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Rohan Sinha</w:t>
            </w:r>
          </w:p>
        </w:tc>
        <w:tc>
          <w:tcPr>
            <w:tcW w:type="dxa" w:w="136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03 Oct 2026</w:t>
            </w:r>
          </w:p>
        </w:tc>
      </w:tr>
      <w:tr>
        <w:trPr>
          <w:cantSplit/>
          <w:tblHeader w:val="false"/>
        </w:trPr>
        <w:tc>
          <w:tcPr>
            <w:tcW w:type="dxa" w:w="521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CNN, MobileNetV3 and CRNN 10-fold results</w:t>
            </w:r>
          </w:p>
        </w:tc>
        <w:tc>
          <w:tcPr>
            <w:tcW w:type="dxa" w:w="306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Rohan Sinha, Akshdeep Singh</w:t>
            </w:r>
          </w:p>
        </w:tc>
        <w:tc>
          <w:tcPr>
            <w:tcW w:type="dxa" w:w="136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09 Oct 2026</w:t>
            </w:r>
          </w:p>
        </w:tc>
      </w:tr>
      <w:tr>
        <w:trPr>
          <w:cantSplit/>
          <w:tblHeader w:val="false"/>
        </w:trPr>
        <w:tc>
          <w:tcPr>
            <w:tcW w:type="dxa" w:w="521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AST fine-tuned (all folds or fallback subset); tuning complete</w:t>
            </w:r>
          </w:p>
        </w:tc>
        <w:tc>
          <w:tcPr>
            <w:tcW w:type="dxa" w:w="306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Siddharth Nair</w:t>
            </w:r>
          </w:p>
        </w:tc>
        <w:tc>
          <w:tcPr>
            <w:tcW w:type="dxa" w:w="136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14 Oct 2026</w:t>
            </w:r>
          </w:p>
        </w:tc>
      </w:tr>
      <w:tr>
        <w:trPr>
          <w:cantSplit/>
          <w:tblHeader w:val="false"/>
        </w:trPr>
        <w:tc>
          <w:tcPr>
            <w:tcW w:type="dxa" w:w="521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Quantization and pruning for all models; size/latency benchmark</w:t>
            </w:r>
          </w:p>
        </w:tc>
        <w:tc>
          <w:tcPr>
            <w:tcW w:type="dxa" w:w="306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Siddharth Nair (compression), Rohan Sinha (harness)</w:t>
            </w:r>
          </w:p>
        </w:tc>
        <w:tc>
          <w:tcPr>
            <w:tcW w:type="dxa" w:w="136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21 Oct 2026</w:t>
            </w:r>
          </w:p>
        </w:tc>
      </w:tr>
      <w:tr>
        <w:trPr>
          <w:cantSplit/>
          <w:tblHeader w:val="false"/>
        </w:trPr>
        <w:tc>
          <w:tcPr>
            <w:tcW w:type="dxa" w:w="521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Comparison table, error analysis, confusion matrices</w:t>
            </w:r>
          </w:p>
        </w:tc>
        <w:tc>
          <w:tcPr>
            <w:tcW w:type="dxa" w:w="306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All members</w:t>
            </w:r>
          </w:p>
        </w:tc>
        <w:tc>
          <w:tcPr>
            <w:tcW w:type="dxa" w:w="136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24 Oct 2026</w:t>
            </w:r>
          </w:p>
        </w:tc>
      </w:tr>
      <w:tr>
        <w:trPr>
          <w:cantSplit/>
          <w:tblHeader w:val="false"/>
        </w:trPr>
        <w:tc>
          <w:tcPr>
            <w:tcW w:type="dxa" w:w="521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Slides and presentation rehearsal</w:t>
            </w:r>
          </w:p>
        </w:tc>
        <w:tc>
          <w:tcPr>
            <w:tcW w:type="dxa" w:w="306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All members</w:t>
            </w:r>
          </w:p>
        </w:tc>
        <w:tc>
          <w:tcPr>
            <w:tcW w:type="dxa" w:w="136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25 Oct 2026</w:t>
            </w:r>
          </w:p>
        </w:tc>
      </w:tr>
      <w:tr>
        <w:trPr>
          <w:cantSplit/>
          <w:tblHeader w:val="false"/>
        </w:trPr>
        <w:tc>
          <w:tcPr>
            <w:tcW w:type="dxa" w:w="521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Final presentations</w:t>
            </w:r>
          </w:p>
        </w:tc>
        <w:tc>
          <w:tcPr>
            <w:tcW w:type="dxa" w:w="306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All members</w:t>
            </w:r>
          </w:p>
        </w:tc>
        <w:tc>
          <w:tcPr>
            <w:tcW w:type="dxa" w:w="136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26–29 Oct 2026</w:t>
            </w:r>
          </w:p>
        </w:tc>
      </w:tr>
      <w:tr>
        <w:trPr>
          <w:cantSplit/>
          <w:tblHeader w:val="false"/>
        </w:trPr>
        <w:tc>
          <w:tcPr>
            <w:tcW w:type="dxa" w:w="5215"/>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Final report, code repo, Turnitin check (plagiarism ≤ 15%, AI ≤ 20%), submission</w:t>
            </w:r>
          </w:p>
        </w:tc>
        <w:tc>
          <w:tcPr>
            <w:tcW w:type="dxa" w:w="3061"/>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All members</w:t>
            </w:r>
          </w:p>
        </w:tc>
        <w:tc>
          <w:tcPr>
            <w:tcW w:type="dxa" w:w="1362"/>
            <w:tcBorders>
              <w:top w:val="single" w:color="999999" w:sz="4"/>
              <w:left w:val="single" w:color="999999" w:sz="4"/>
              <w:bottom w:val="single" w:color="999999" w:sz="4"/>
              <w:right w:val="single" w:color="999999" w:sz="4"/>
            </w:tcBorders>
            <w:tcMar>
              <w:top w:type="dxa" w:w="50"/>
              <w:left w:type="dxa" w:w="70"/>
              <w:bottom w:type="dxa" w:w="50"/>
              <w:right w:type="dxa" w:w="70"/>
            </w:tcMar>
          </w:tcPr>
          <w:p>
            <w:pPr>
              <w:spacing w:after="0" w:line="240"/>
              <w:jc w:val="left"/>
            </w:pPr>
            <w:r>
              <w:rPr>
                <w:rFonts w:ascii="Times New Roman" w:cs="Times New Roman" w:eastAsia="Times New Roman" w:hAnsi="Times New Roman"/>
                <w:b w:val="false"/>
                <w:bCs w:val="false"/>
                <w:sz w:val="16"/>
                <w:szCs w:val="16"/>
              </w:rPr>
              <w:t xml:space="preserve">31 Oct 2026 (hard deadline)</w:t>
            </w:r>
          </w:p>
        </w:tc>
      </w:tr>
    </w:tbl>
    <w:p>
      <w:pPr>
        <w:pStyle w:val="Heading1"/>
        <w:spacing w:after="120" w:before="240"/>
      </w:pPr>
      <w:r>
        <w:rPr>
          <w:rFonts w:ascii="Times New Roman" w:cs="Times New Roman" w:eastAsia="Times New Roman" w:hAnsi="Times New Roman"/>
          <w:b/>
          <w:bCs/>
          <w:color w:val="1F3A5F"/>
          <w:sz w:val="28"/>
          <w:szCs w:val="28"/>
        </w:rPr>
        <w:t xml:space="preserve">References</w:t>
      </w:r>
    </w:p>
    <w:p>
      <w:pPr>
        <w:tabs>
          <w:tab w:val="left" w:pos="400"/>
        </w:tabs>
        <w:spacing w:after="60" w:line="252"/>
        <w:ind w:left="400" w:hanging="40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J. Salamon, C. Jacoby, and J. P. Bello, “A dataset and taxonomy for urban sound research,” in </w:t>
      </w:r>
      <w:r>
        <w:rPr>
          <w:rFonts w:ascii="Times New Roman" w:cs="Times New Roman" w:eastAsia="Times New Roman" w:hAnsi="Times New Roman"/>
          <w:i/>
          <w:iCs/>
          <w:sz w:val="18"/>
          <w:szCs w:val="18"/>
        </w:rPr>
        <w:t xml:space="preserve">Proc. 22nd ACM Int. Conf. Multimedia (ACM-MM)</w:t>
      </w:r>
      <w:r>
        <w:rPr>
          <w:rFonts w:ascii="Times New Roman" w:cs="Times New Roman" w:eastAsia="Times New Roman" w:hAnsi="Times New Roman"/>
          <w:sz w:val="18"/>
          <w:szCs w:val="18"/>
        </w:rPr>
        <w:t xml:space="preserve">, 2014, pp. 1041–1044.</w:t>
      </w:r>
    </w:p>
    <w:p>
      <w:pPr>
        <w:tabs>
          <w:tab w:val="left" w:pos="400"/>
        </w:tabs>
        <w:spacing w:after="60" w:line="252"/>
        <w:ind w:left="400" w:hanging="40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J. Salamon and J. P. Bello, “Deep convolutional neural networks and data augmentation for environmental sound classification,” </w:t>
      </w:r>
      <w:r>
        <w:rPr>
          <w:rFonts w:ascii="Times New Roman" w:cs="Times New Roman" w:eastAsia="Times New Roman" w:hAnsi="Times New Roman"/>
          <w:i/>
          <w:iCs/>
          <w:sz w:val="18"/>
          <w:szCs w:val="18"/>
        </w:rPr>
        <w:t xml:space="preserve">IEEE Signal Process. Lett.</w:t>
      </w:r>
      <w:r>
        <w:rPr>
          <w:rFonts w:ascii="Times New Roman" w:cs="Times New Roman" w:eastAsia="Times New Roman" w:hAnsi="Times New Roman"/>
          <w:sz w:val="18"/>
          <w:szCs w:val="18"/>
        </w:rPr>
        <w:t xml:space="preserve">, vol. 24, no. 3, pp. 279–283, 2017.</w:t>
      </w:r>
    </w:p>
    <w:p>
      <w:pPr>
        <w:tabs>
          <w:tab w:val="left" w:pos="400"/>
        </w:tabs>
        <w:spacing w:after="60" w:line="252"/>
        <w:ind w:left="400" w:hanging="40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K. J. Piczak, “Environmental sound classification with convolutional neural networks,” in </w:t>
      </w:r>
      <w:r>
        <w:rPr>
          <w:rFonts w:ascii="Times New Roman" w:cs="Times New Roman" w:eastAsia="Times New Roman" w:hAnsi="Times New Roman"/>
          <w:i/>
          <w:iCs/>
          <w:sz w:val="18"/>
          <w:szCs w:val="18"/>
        </w:rPr>
        <w:t xml:space="preserve">IEEE Int. Workshop Mach. Learn. Signal Process. (MLSP)</w:t>
      </w:r>
      <w:r>
        <w:rPr>
          <w:rFonts w:ascii="Times New Roman" w:cs="Times New Roman" w:eastAsia="Times New Roman" w:hAnsi="Times New Roman"/>
          <w:sz w:val="18"/>
          <w:szCs w:val="18"/>
        </w:rPr>
        <w:t xml:space="preserve">, 2015, pp. 1–6.</w:t>
      </w:r>
    </w:p>
    <w:p>
      <w:pPr>
        <w:tabs>
          <w:tab w:val="left" w:pos="400"/>
        </w:tabs>
        <w:spacing w:after="60" w:line="252"/>
        <w:ind w:left="400" w:hanging="40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Y. Gong, Y.-A. Chung, and J. Glass, “AST: Audio spectrogram transformer,” in </w:t>
      </w:r>
      <w:r>
        <w:rPr>
          <w:rFonts w:ascii="Times New Roman" w:cs="Times New Roman" w:eastAsia="Times New Roman" w:hAnsi="Times New Roman"/>
          <w:i/>
          <w:iCs/>
          <w:sz w:val="18"/>
          <w:szCs w:val="18"/>
        </w:rPr>
        <w:t xml:space="preserve">Proc. Interspeech</w:t>
      </w:r>
      <w:r>
        <w:rPr>
          <w:rFonts w:ascii="Times New Roman" w:cs="Times New Roman" w:eastAsia="Times New Roman" w:hAnsi="Times New Roman"/>
          <w:sz w:val="18"/>
          <w:szCs w:val="18"/>
        </w:rPr>
        <w:t xml:space="preserve">, 2021, pp. 571–575.</w:t>
      </w:r>
    </w:p>
    <w:p>
      <w:pPr>
        <w:tabs>
          <w:tab w:val="left" w:pos="400"/>
        </w:tabs>
        <w:spacing w:after="60" w:line="252"/>
        <w:ind w:left="400" w:hanging="40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E. Çakır, G. Parascandolo, T. Heittola, H. Huttunen, and T. Virtanen, “Convolutional recurrent neural networks for polyphonic sound event detection,” </w:t>
      </w:r>
      <w:r>
        <w:rPr>
          <w:rFonts w:ascii="Times New Roman" w:cs="Times New Roman" w:eastAsia="Times New Roman" w:hAnsi="Times New Roman"/>
          <w:i/>
          <w:iCs/>
          <w:sz w:val="18"/>
          <w:szCs w:val="18"/>
        </w:rPr>
        <w:t xml:space="preserve">IEEE/ACM Trans. Audio, Speech, Language Process.</w:t>
      </w:r>
      <w:r>
        <w:rPr>
          <w:rFonts w:ascii="Times New Roman" w:cs="Times New Roman" w:eastAsia="Times New Roman" w:hAnsi="Times New Roman"/>
          <w:sz w:val="18"/>
          <w:szCs w:val="18"/>
        </w:rPr>
        <w:t xml:space="preserve">, vol. 25, no. 6, pp. 1291–1303, 2017.</w:t>
      </w:r>
    </w:p>
    <w:p>
      <w:pPr>
        <w:tabs>
          <w:tab w:val="left" w:pos="400"/>
        </w:tabs>
        <w:spacing w:after="60" w:line="252"/>
        <w:ind w:left="400" w:hanging="40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A. Howard, M. Sandler, G. Chu, et al., “Searching for MobileNetV3,” in </w:t>
      </w:r>
      <w:r>
        <w:rPr>
          <w:rFonts w:ascii="Times New Roman" w:cs="Times New Roman" w:eastAsia="Times New Roman" w:hAnsi="Times New Roman"/>
          <w:i/>
          <w:iCs/>
          <w:sz w:val="18"/>
          <w:szCs w:val="18"/>
        </w:rPr>
        <w:t xml:space="preserve">Proc. IEEE/CVF Int. Conf. Comput. Vis. (ICCV)</w:t>
      </w:r>
      <w:r>
        <w:rPr>
          <w:rFonts w:ascii="Times New Roman" w:cs="Times New Roman" w:eastAsia="Times New Roman" w:hAnsi="Times New Roman"/>
          <w:sz w:val="18"/>
          <w:szCs w:val="18"/>
        </w:rPr>
        <w:t xml:space="preserve">, 2019, pp. 1314–1324.</w:t>
      </w:r>
    </w:p>
    <w:p>
      <w:pPr>
        <w:tabs>
          <w:tab w:val="left" w:pos="400"/>
        </w:tabs>
        <w:spacing w:after="60" w:line="252"/>
        <w:ind w:left="400" w:hanging="40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B. Jacob, S. Kligys, B. Chen, et al., “Quantization and training of neural networks for efficient integer-arithmetic-only inference,” in </w:t>
      </w:r>
      <w:r>
        <w:rPr>
          <w:rFonts w:ascii="Times New Roman" w:cs="Times New Roman" w:eastAsia="Times New Roman" w:hAnsi="Times New Roman"/>
          <w:i/>
          <w:iCs/>
          <w:sz w:val="18"/>
          <w:szCs w:val="18"/>
        </w:rPr>
        <w:t xml:space="preserve">Proc. IEEE/CVF Conf. Comput. Vis. Pattern Recognit. (CVPR)</w:t>
      </w:r>
      <w:r>
        <w:rPr>
          <w:rFonts w:ascii="Times New Roman" w:cs="Times New Roman" w:eastAsia="Times New Roman" w:hAnsi="Times New Roman"/>
          <w:sz w:val="18"/>
          <w:szCs w:val="18"/>
        </w:rPr>
        <w:t xml:space="preserve">, 2018, pp. 2704–2713.</w:t>
      </w:r>
    </w:p>
    <w:p>
      <w:pPr>
        <w:tabs>
          <w:tab w:val="left" w:pos="400"/>
        </w:tabs>
        <w:spacing w:after="60" w:line="252"/>
        <w:ind w:left="400" w:hanging="40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Q. Kong, Y. Cao, T. Iqbal, Y. Wang, W. Wang, and M. D. Plumbley, “PANNs: Large-scale pretrained audio neural networks for audio pattern recognition,” </w:t>
      </w:r>
      <w:r>
        <w:rPr>
          <w:rFonts w:ascii="Times New Roman" w:cs="Times New Roman" w:eastAsia="Times New Roman" w:hAnsi="Times New Roman"/>
          <w:i/>
          <w:iCs/>
          <w:sz w:val="18"/>
          <w:szCs w:val="18"/>
        </w:rPr>
        <w:t xml:space="preserve">IEEE/ACM Trans. Audio, Speech, Language Process.</w:t>
      </w:r>
      <w:r>
        <w:rPr>
          <w:rFonts w:ascii="Times New Roman" w:cs="Times New Roman" w:eastAsia="Times New Roman" w:hAnsi="Times New Roman"/>
          <w:sz w:val="18"/>
          <w:szCs w:val="18"/>
        </w:rPr>
        <w:t xml:space="preserve">, vol. 28, pp. 2880–2894, 2020.</w:t>
      </w:r>
    </w:p>
    <w:p>
      <w:pPr>
        <w:tabs>
          <w:tab w:val="left" w:pos="400"/>
        </w:tabs>
        <w:spacing w:after="60" w:line="252"/>
        <w:ind w:left="400" w:hanging="40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D. S. Park, W. Chan, Y. Zhang, et al., “SpecAugment: A simple data augmentation method for automatic speech recognition,” in </w:t>
      </w:r>
      <w:r>
        <w:rPr>
          <w:rFonts w:ascii="Times New Roman" w:cs="Times New Roman" w:eastAsia="Times New Roman" w:hAnsi="Times New Roman"/>
          <w:i/>
          <w:iCs/>
          <w:sz w:val="18"/>
          <w:szCs w:val="18"/>
        </w:rPr>
        <w:t xml:space="preserve">Proc. Interspeech</w:t>
      </w:r>
      <w:r>
        <w:rPr>
          <w:rFonts w:ascii="Times New Roman" w:cs="Times New Roman" w:eastAsia="Times New Roman" w:hAnsi="Times New Roman"/>
          <w:sz w:val="18"/>
          <w:szCs w:val="18"/>
        </w:rPr>
        <w:t xml:space="preserve">, 2019, pp. 2613–2617.</w:t>
      </w:r>
    </w:p>
    <w:p>
      <w:pPr>
        <w:tabs>
          <w:tab w:val="left" w:pos="400"/>
        </w:tabs>
        <w:spacing w:after="60" w:line="252"/>
        <w:ind w:left="400" w:hanging="40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S. Han, H. Mao, and W. J. Dally, “Deep Compression: Compressing deep neural networks with pruning, trained quantization and Huffman coding,” in </w:t>
      </w:r>
      <w:r>
        <w:rPr>
          <w:rFonts w:ascii="Times New Roman" w:cs="Times New Roman" w:eastAsia="Times New Roman" w:hAnsi="Times New Roman"/>
          <w:i/>
          <w:iCs/>
          <w:sz w:val="18"/>
          <w:szCs w:val="18"/>
        </w:rPr>
        <w:t xml:space="preserve">Proc. Int. Conf. Learn. Represent. (ICLR)</w:t>
      </w:r>
      <w:r>
        <w:rPr>
          <w:rFonts w:ascii="Times New Roman" w:cs="Times New Roman" w:eastAsia="Times New Roman" w:hAnsi="Times New Roman"/>
          <w:sz w:val="18"/>
          <w:szCs w:val="18"/>
        </w:rPr>
        <w:t xml:space="preserve">, 2016.</w:t>
      </w:r>
    </w:p>
    <w:sectPr>
      <w:footerReference w:type="default" r:id="rId7"/>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Times New Roman" w:cs="Times New Roman" w:eastAsia="Times New Roman" w:hAnsi="Times New Roman"/>
        <w:sz w:val="17"/>
        <w:szCs w:val="17"/>
      </w:rPr>
      <w:t xml:space="preserve">ICT 4442 Deep Learning Mini Project — Interim Report (Part B)</w:t>
    </w:r>
    <w:r>
      <w:rPr>
        <w:rFonts w:ascii="Times New Roman" w:cs="Times New Roman" w:eastAsia="Times New Roman" w:hAnsi="Times New Roman"/>
        <w:sz w:val="17"/>
        <w:szCs w:val="17"/>
      </w:rPr>
      <w:t xml:space="preserve">	Page </w:t>
    </w:r>
    <w:r>
      <w:rPr>
        <w:rFonts w:ascii="Times New Roman" w:cs="Times New Roman" w:eastAsia="Times New Roman" w:hAnsi="Times New Roman"/>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A5F"/>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Report (Part B) - On-Device Acoustic Event Detection</dc:title>
  <dc:creator>Rohan Sinha, Akshdeep Singh, Siddharth Nair</dc:creator>
  <cp:lastModifiedBy>Un-named</cp:lastModifiedBy>
  <cp:revision>1</cp:revision>
  <dcterms:created xsi:type="dcterms:W3CDTF">2026-10-02T16:53:37.275Z</dcterms:created>
  <dcterms:modified xsi:type="dcterms:W3CDTF">2026-10-02T16:53:37.275Z</dcterms:modified>
</cp:coreProperties>
</file>

<file path=docProps/custom.xml><?xml version="1.0" encoding="utf-8"?>
<Properties xmlns="http://schemas.openxmlformats.org/officeDocument/2006/custom-properties" xmlns:vt="http://schemas.openxmlformats.org/officeDocument/2006/docPropsVTypes"/>
</file>