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44C6" w14:textId="0DB7C2C1" w:rsidR="005C1F70" w:rsidRPr="00CF53F9" w:rsidRDefault="00A5282E">
      <w:pPr>
        <w:pStyle w:val="Heading1"/>
      </w:pPr>
      <w:r w:rsidRPr="00CF53F9">
        <w:t>Climate action and economic growth</w:t>
      </w:r>
    </w:p>
    <w:p w14:paraId="20FB5E90" w14:textId="6F7BC29D" w:rsidR="005C1F70" w:rsidRPr="00CF53F9" w:rsidRDefault="00902053">
      <w:r w:rsidRPr="00CF53F9">
        <w:t xml:space="preserve">The </w:t>
      </w:r>
      <w:proofErr w:type="spellStart"/>
      <w:r w:rsidRPr="00CF53F9">
        <w:t>Organisation</w:t>
      </w:r>
      <w:proofErr w:type="spellEnd"/>
      <w:r w:rsidRPr="00CF53F9">
        <w:t xml:space="preserve"> for Economic Co-operation and Development (OECD) has long advocated for policies that align environmental sustainability with economic development. This report examines the trade-offs and synergies between climate action and GDP growth across member countries.</w:t>
      </w:r>
    </w:p>
    <w:p w14:paraId="66676CE3" w14:textId="77777777" w:rsidR="005C1F70" w:rsidRPr="00CF53F9" w:rsidRDefault="00000000">
      <w:r w:rsidRPr="00CF53F9">
        <w:t xml:space="preserve">Carbon pricing mechanisms have been adopted by 46 national and 32 subnational jurisdictions, covering approximately </w:t>
      </w:r>
      <w:r w:rsidRPr="00CF53F9">
        <w:rPr>
          <w:highlight w:val="red"/>
        </w:rPr>
        <w:t>23%</w:t>
      </w:r>
      <w:r w:rsidRPr="00CF53F9">
        <w:t xml:space="preserve"> of global greenhouse gas emissions.</w:t>
      </w:r>
    </w:p>
    <w:p w14:paraId="28C9319C" w14:textId="77777777" w:rsidR="005C1F70" w:rsidRPr="00CF53F9" w:rsidRDefault="00000000">
      <w:r w:rsidRPr="00CF53F9">
        <w:t>Subsidies for fossil fuels remain a significant barrier to achieving net-zero targets by 2050.</w:t>
      </w:r>
    </w:p>
    <w:p w14:paraId="4980EBCA" w14:textId="77777777" w:rsidR="005C1F70" w:rsidRPr="00CF53F9" w:rsidRDefault="00000000">
      <w:r w:rsidRPr="00CF53F9">
        <w:t>The concept of sustainability is central to modern economic policy. Governments must balance short-term fiscal pressures with long-term environmental goals.</w:t>
      </w:r>
    </w:p>
    <w:p w14:paraId="71E26E1C" w14:textId="1E8A5C82" w:rsidR="005C1F70" w:rsidRPr="00CF53F9" w:rsidRDefault="00000000">
      <w:r w:rsidRPr="00CF53F9">
        <w:t xml:space="preserve">As noted in the </w:t>
      </w:r>
      <w:proofErr w:type="spellStart"/>
      <w:r w:rsidR="00A5282E" w:rsidRPr="00CF53F9">
        <w:t>Organisation</w:t>
      </w:r>
      <w:proofErr w:type="spellEnd"/>
      <w:r w:rsidR="00A5282E" w:rsidRPr="00CF53F9">
        <w:t xml:space="preserve"> for Economic Co-operation and Development (OECD) </w:t>
      </w:r>
      <w:r w:rsidR="00A5282E" w:rsidRPr="00CF53F9">
        <w:rPr>
          <w:highlight w:val="red"/>
        </w:rPr>
        <w:t>Economic Outlook 2024</w:t>
      </w:r>
      <w:r w:rsidRPr="00CF53F9">
        <w:t>, fiscal consolidation remains a priority for many member states.</w:t>
      </w:r>
    </w:p>
    <w:p w14:paraId="16A71E30" w14:textId="6B427653" w:rsidR="005C1F70" w:rsidRPr="00CF53F9" w:rsidRDefault="00000000">
      <w:r w:rsidRPr="00CF53F9">
        <w:t xml:space="preserve">Global temperatures have increased by approximately </w:t>
      </w:r>
      <w:r w:rsidR="00300375" w:rsidRPr="00CF53F9">
        <w:rPr>
          <w:highlight w:val="red"/>
        </w:rPr>
        <w:t>1.1</w:t>
      </w:r>
      <w:r w:rsidRPr="00CF53F9">
        <w:t xml:space="preserve"> since the pre-industrial era.</w:t>
      </w:r>
    </w:p>
    <w:p w14:paraId="243DCE36" w14:textId="0A5940D9" w:rsidR="005C1F70" w:rsidRPr="00CF53F9" w:rsidRDefault="00000000">
      <w:r w:rsidRPr="00CF53F9">
        <w:t xml:space="preserve">The recommended limit is 350 ppm of </w:t>
      </w:r>
      <w:r w:rsidR="00300375" w:rsidRPr="00CF53F9">
        <w:t xml:space="preserve">carbon dioxide </w:t>
      </w:r>
      <w:r w:rsidR="00300375" w:rsidRPr="00CF53F9">
        <w:rPr>
          <w:highlight w:val="red"/>
        </w:rPr>
        <w:t>(CO2)</w:t>
      </w:r>
      <w:r w:rsidRPr="00CF53F9">
        <w:t xml:space="preserve"> in the atmosphere.</w:t>
      </w:r>
    </w:p>
    <w:p w14:paraId="721CBEFD" w14:textId="77777777" w:rsidR="005C1F70" w:rsidRPr="00CF53F9" w:rsidRDefault="00000000">
      <w:r w:rsidRPr="00CF53F9">
        <w:t>Key Findings</w:t>
      </w:r>
    </w:p>
    <w:p w14:paraId="53D7D3CA" w14:textId="77777777" w:rsidR="005C1F70" w:rsidRPr="00CF53F9" w:rsidRDefault="00000000">
      <w:r w:rsidRPr="00CF53F9">
        <w:t>Several ad hoc committees were established to address the crisis.</w:t>
      </w:r>
    </w:p>
    <w:p w14:paraId="19E4CB2B" w14:textId="204E93F5" w:rsidR="005C1F70" w:rsidRPr="00CF53F9" w:rsidRDefault="00CF53F9">
      <w:r>
        <w:rPr>
          <w:highlight w:val="red"/>
        </w:rPr>
        <w:t>Recommendations for member countries</w:t>
      </w:r>
    </w:p>
    <w:p w14:paraId="795301D7" w14:textId="77F57A44" w:rsidR="005C1F70" w:rsidRDefault="00902053">
      <w:r w:rsidRPr="00CF53F9">
        <w:t xml:space="preserve">For further information, see Chapter 3, </w:t>
      </w:r>
      <w:r w:rsidR="00CF53F9">
        <w:rPr>
          <w:highlight w:val="red"/>
        </w:rPr>
        <w:t>For further information, see Chapter 3, Fiscal Instruments for Climate Policy, in the companion volume.</w:t>
      </w:r>
      <w:r w:rsidRPr="00CF53F9">
        <w:t>, in the companion volume.</w:t>
      </w:r>
    </w:p>
    <w:sectPr w:rsidR="005C1F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054814">
    <w:abstractNumId w:val="8"/>
  </w:num>
  <w:num w:numId="2" w16cid:durableId="1542399756">
    <w:abstractNumId w:val="6"/>
  </w:num>
  <w:num w:numId="3" w16cid:durableId="1264416920">
    <w:abstractNumId w:val="5"/>
  </w:num>
  <w:num w:numId="4" w16cid:durableId="620107877">
    <w:abstractNumId w:val="4"/>
  </w:num>
  <w:num w:numId="5" w16cid:durableId="1563517707">
    <w:abstractNumId w:val="7"/>
  </w:num>
  <w:num w:numId="6" w16cid:durableId="360597941">
    <w:abstractNumId w:val="3"/>
  </w:num>
  <w:num w:numId="7" w16cid:durableId="678121996">
    <w:abstractNumId w:val="2"/>
  </w:num>
  <w:num w:numId="8" w16cid:durableId="1540900137">
    <w:abstractNumId w:val="1"/>
  </w:num>
  <w:num w:numId="9" w16cid:durableId="168212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79D"/>
    <w:rsid w:val="0015074B"/>
    <w:rsid w:val="0029639D"/>
    <w:rsid w:val="00300375"/>
    <w:rsid w:val="00326F90"/>
    <w:rsid w:val="005C1F70"/>
    <w:rsid w:val="00902053"/>
    <w:rsid w:val="00A5282E"/>
    <w:rsid w:val="00AA1D8D"/>
    <w:rsid w:val="00B47730"/>
    <w:rsid w:val="00CB0664"/>
    <w:rsid w:val="00CD54BD"/>
    <w:rsid w:val="00CF53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B0908"/>
  <w14:defaultImageDpi w14:val="300"/>
  <w15:docId w15:val="{3FE667F9-DDE8-4515-891D-2D9BF999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FA3E18-37D3-424D-9EA5-13D0CBC1907C}">
  <we:reference id="a1b2c3d4-e5f6-7890-abcd-ef1234567890" version="1.0.0.0" store="\\LAPTOP-6IUAOHG1\dist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182</Words>
  <Characters>1152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Sidali Kadouche</cp:lastModifiedBy>
  <cp:revision>5</cp:revision>
  <dcterms:created xsi:type="dcterms:W3CDTF">2013-12-23T23:15:00Z</dcterms:created>
  <dcterms:modified xsi:type="dcterms:W3CDTF">2026-02-15T23:40:00Z</dcterms:modified>
  <cp:category/>
</cp:coreProperties>
</file>