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MarginMix – Deterministic Decision Table</w:t>
      </w:r>
    </w:p>
    <w:p>
      <w:r>
        <w:t>MarginMix decisions are derived using deterministic, rule-based logic. Overrides take precedence over all other conditions. No scoring or AI inference is used.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Trigger Condition</w:t>
            </w:r>
          </w:p>
        </w:tc>
        <w:tc>
          <w:tcPr>
            <w:tcW w:type="dxa" w:w="1728"/>
          </w:tcPr>
          <w:p>
            <w:r>
              <w:t>Derived Dimensions</w:t>
            </w:r>
          </w:p>
        </w:tc>
        <w:tc>
          <w:tcPr>
            <w:tcW w:type="dxa" w:w="1728"/>
          </w:tcPr>
          <w:p>
            <w:r>
              <w:t>Rule Type</w:t>
            </w:r>
          </w:p>
        </w:tc>
        <w:tc>
          <w:tcPr>
            <w:tcW w:type="dxa" w:w="1728"/>
          </w:tcPr>
          <w:p>
            <w:r>
              <w:t>Final Verdict</w:t>
            </w:r>
          </w:p>
        </w:tc>
        <w:tc>
          <w:tcPr>
            <w:tcW w:type="dxa" w:w="1728"/>
          </w:tcPr>
          <w:p>
            <w:r>
              <w:t>Decision Meaning</w:t>
            </w:r>
          </w:p>
        </w:tc>
      </w:tr>
      <w:tr>
        <w:tc>
          <w:tcPr>
            <w:tcW w:type="dxa" w:w="1728"/>
          </w:tcPr>
          <w:p>
            <w:r>
              <w:t>High Workforce Intensity AND High Coordination Entropy</w:t>
            </w:r>
          </w:p>
        </w:tc>
        <w:tc>
          <w:tcPr>
            <w:tcW w:type="dxa" w:w="1728"/>
          </w:tcPr>
          <w:p>
            <w:r>
              <w:t>Workforce Intensity, Coordination Entropy</w:t>
            </w:r>
          </w:p>
        </w:tc>
        <w:tc>
          <w:tcPr>
            <w:tcW w:type="dxa" w:w="1728"/>
          </w:tcPr>
          <w:p>
            <w:r>
              <w:t>Structural Override</w:t>
            </w:r>
          </w:p>
        </w:tc>
        <w:tc>
          <w:tcPr>
            <w:tcW w:type="dxa" w:w="1728"/>
          </w:tcPr>
          <w:p>
            <w:r>
              <w:t>Structurally Fragile</w:t>
            </w:r>
          </w:p>
        </w:tc>
        <w:tc>
          <w:tcPr>
            <w:tcW w:type="dxa" w:w="1728"/>
          </w:tcPr>
          <w:p>
            <w:r>
              <w:t>Structural load exceeds safe operating assumptions</w:t>
            </w:r>
          </w:p>
        </w:tc>
      </w:tr>
      <w:tr>
        <w:tc>
          <w:tcPr>
            <w:tcW w:type="dxa" w:w="1728"/>
          </w:tcPr>
          <w:p>
            <w:r>
              <w:t>Negative Pricing OR Delivery Confidence</w:t>
            </w:r>
          </w:p>
        </w:tc>
        <w:tc>
          <w:tcPr>
            <w:tcW w:type="dxa" w:w="1728"/>
          </w:tcPr>
          <w:p>
            <w:r>
              <w:t>Confidence Signal</w:t>
            </w:r>
          </w:p>
        </w:tc>
        <w:tc>
          <w:tcPr>
            <w:tcW w:type="dxa" w:w="1728"/>
          </w:tcPr>
          <w:p>
            <w:r>
              <w:t>Confidence Override</w:t>
            </w:r>
          </w:p>
        </w:tc>
        <w:tc>
          <w:tcPr>
            <w:tcW w:type="dxa" w:w="1728"/>
          </w:tcPr>
          <w:p>
            <w:r>
              <w:t>Do Not Proceed Without Repricing</w:t>
            </w:r>
          </w:p>
        </w:tc>
        <w:tc>
          <w:tcPr>
            <w:tcW w:type="dxa" w:w="1728"/>
          </w:tcPr>
          <w:p>
            <w:r>
              <w:t>Pricing confidence insufficient to proceed safely</w:t>
            </w:r>
          </w:p>
        </w:tc>
      </w:tr>
      <w:tr>
        <w:tc>
          <w:tcPr>
            <w:tcW w:type="dxa" w:w="1728"/>
          </w:tcPr>
          <w:p>
            <w:r>
              <w:t>High Commercial Exposure</w:t>
            </w:r>
          </w:p>
        </w:tc>
        <w:tc>
          <w:tcPr>
            <w:tcW w:type="dxa" w:w="1728"/>
          </w:tcPr>
          <w:p>
            <w:r>
              <w:t>Commercial Exposure</w:t>
            </w:r>
          </w:p>
        </w:tc>
        <w:tc>
          <w:tcPr>
            <w:tcW w:type="dxa" w:w="1728"/>
          </w:tcPr>
          <w:p>
            <w:r>
              <w:t>Primary Rule</w:t>
            </w:r>
          </w:p>
        </w:tc>
        <w:tc>
          <w:tcPr>
            <w:tcW w:type="dxa" w:w="1728"/>
          </w:tcPr>
          <w:p>
            <w:r>
              <w:t>Price Sensitive</w:t>
            </w:r>
          </w:p>
        </w:tc>
        <w:tc>
          <w:tcPr>
            <w:tcW w:type="dxa" w:w="1728"/>
          </w:tcPr>
          <w:p>
            <w:r>
              <w:t>Pricing assumptions require protection</w:t>
            </w:r>
          </w:p>
        </w:tc>
      </w:tr>
      <w:tr>
        <w:tc>
          <w:tcPr>
            <w:tcW w:type="dxa" w:w="1728"/>
          </w:tcPr>
          <w:p>
            <w:r>
              <w:t>High Workforce Intensity</w:t>
            </w:r>
          </w:p>
        </w:tc>
        <w:tc>
          <w:tcPr>
            <w:tcW w:type="dxa" w:w="1728"/>
          </w:tcPr>
          <w:p>
            <w:r>
              <w:t>Workforce Intensity</w:t>
            </w:r>
          </w:p>
        </w:tc>
        <w:tc>
          <w:tcPr>
            <w:tcW w:type="dxa" w:w="1728"/>
          </w:tcPr>
          <w:p>
            <w:r>
              <w:t>Primary Rule</w:t>
            </w:r>
          </w:p>
        </w:tc>
        <w:tc>
          <w:tcPr>
            <w:tcW w:type="dxa" w:w="1728"/>
          </w:tcPr>
          <w:p>
            <w:r>
              <w:t>Execution Heavy</w:t>
            </w:r>
          </w:p>
        </w:tc>
        <w:tc>
          <w:tcPr>
            <w:tcW w:type="dxa" w:w="1728"/>
          </w:tcPr>
          <w:p>
            <w:r>
              <w:t>Execution and coordination will dominate effort</w:t>
            </w:r>
          </w:p>
        </w:tc>
      </w:tr>
      <w:tr>
        <w:tc>
          <w:tcPr>
            <w:tcW w:type="dxa" w:w="1728"/>
          </w:tcPr>
          <w:p>
            <w:r>
              <w:t>No High-Risk Conditions Triggered</w:t>
            </w:r>
          </w:p>
        </w:tc>
        <w:tc>
          <w:tcPr>
            <w:tcW w:type="dxa" w:w="1728"/>
          </w:tcPr>
          <w:p>
            <w:r>
              <w:t>All Dimensions Low / Medium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Structurally Safe</w:t>
            </w:r>
          </w:p>
        </w:tc>
        <w:tc>
          <w:tcPr>
            <w:tcW w:type="dxa" w:w="1728"/>
          </w:tcPr>
          <w:p>
            <w:r>
              <w:t>Engagement viable under stated assumptions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